
<file path=[Content_Types].xml><?xml version="1.0" encoding="utf-8"?>
<Types xmlns="http://schemas.openxmlformats.org/package/2006/content-types">
  <Default Extension="xml" ContentType="application/xml"/>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24A559">
      <w:pPr>
        <w:spacing w:before="0" w:after="0"/>
        <w:jc w:val="center"/>
        <w:rPr>
          <w:rFonts w:hint="default" w:cs="Arial"/>
          <w:b/>
          <w:bCs/>
          <w:sz w:val="22"/>
          <w:lang w:val="pt-BR"/>
        </w:rPr>
      </w:pPr>
      <w:r>
        <w:rPr>
          <w:rFonts w:cs="Arial"/>
          <w:b/>
          <w:bCs/>
          <w:sz w:val="22"/>
        </w:rPr>
        <w:t>EDITAL</w:t>
      </w:r>
      <w:r>
        <w:rPr>
          <w:rFonts w:hint="default" w:cs="Arial"/>
          <w:b/>
          <w:bCs/>
          <w:sz w:val="22"/>
          <w:lang w:val="pt-BR"/>
        </w:rPr>
        <w:t xml:space="preserve"> </w:t>
      </w:r>
      <w:r>
        <w:rPr>
          <w:rFonts w:cs="Arial"/>
          <w:b/>
          <w:bCs/>
          <w:sz w:val="22"/>
        </w:rPr>
        <w:t xml:space="preserve"> DA </w:t>
      </w:r>
      <w:sdt>
        <w:sdtPr>
          <w:alias w:val="Edital"/>
          <w:tag w:val="Edital"/>
          <w:id w:val="1266428736"/>
          <w:placeholder>
            <w:docPart w:val="DefaultPlaceholder_-1854013438"/>
          </w:placeholder>
          <w:comboBox>
            <w:listItem w:displayText="CLIQUE PARA ESCOLHER UMA OPÇÃO" w:value="CLIQUE PARA ESCOLHER UMA OPÇÃO"/>
            <w:listItem w:displayText="LICITAÇÃO" w:value="LICITAÇÃO"/>
            <w:listItem w:displayText="DISPENSA ELETRÔNICA" w:value="DISPENSA ELETRÔNICA"/>
          </w:comboBox>
        </w:sdtPr>
        <w:sdtContent>
          <w:r>
            <w:rPr>
              <w:rFonts w:cs="Arial"/>
              <w:b/>
              <w:bCs/>
              <w:sz w:val="22"/>
            </w:rPr>
            <w:t>LICITAÇÃO</w:t>
          </w:r>
        </w:sdtContent>
      </w:sdt>
      <w:r>
        <w:rPr>
          <w:rFonts w:cs="Arial"/>
          <w:b/>
          <w:bCs/>
          <w:sz w:val="22"/>
        </w:rPr>
        <w:t xml:space="preserve"> Nº</w:t>
      </w:r>
      <w:r>
        <w:rPr>
          <w:rFonts w:hint="default" w:cs="Arial"/>
          <w:b/>
          <w:bCs/>
          <w:sz w:val="22"/>
          <w:lang w:val="pt-BR"/>
        </w:rPr>
        <w:t xml:space="preserve"> 012/</w:t>
      </w:r>
      <w:r>
        <w:rPr>
          <w:rFonts w:cs="Arial"/>
          <w:b/>
          <w:bCs/>
          <w:sz w:val="22"/>
        </w:rPr>
        <w:t>202</w:t>
      </w:r>
      <w:r>
        <w:rPr>
          <w:rFonts w:hint="default" w:cs="Arial"/>
          <w:b/>
          <w:bCs/>
          <w:sz w:val="22"/>
          <w:lang w:val="pt-BR"/>
        </w:rPr>
        <w:t>6</w:t>
      </w:r>
      <w:r>
        <w:rPr>
          <w:rFonts w:cs="Arial"/>
          <w:b/>
          <w:bCs/>
          <w:sz w:val="22"/>
        </w:rPr>
        <w:t xml:space="preserve">  </w:t>
      </w:r>
      <w:r>
        <w:rPr>
          <w:rFonts w:hint="default" w:cs="Arial"/>
          <w:b/>
          <w:bCs/>
          <w:sz w:val="22"/>
          <w:lang w:val="pt-BR"/>
        </w:rPr>
        <w:t xml:space="preserve">- RETIFICADO </w:t>
      </w:r>
    </w:p>
    <w:p w14:paraId="7FC1DEAE">
      <w:pPr>
        <w:spacing w:line="288" w:lineRule="auto"/>
        <w:ind w:firstLine="1134"/>
        <w:jc w:val="both"/>
        <w:rPr>
          <w:rFonts w:cs="Arial"/>
          <w:sz w:val="21"/>
          <w:szCs w:val="21"/>
        </w:rPr>
      </w:pPr>
      <w:r>
        <w:rPr>
          <w:rFonts w:cs="Arial"/>
          <w:sz w:val="21"/>
          <w:szCs w:val="21"/>
        </w:rPr>
        <w:t>Prezado fornecedor, o município de Paranavaí agradece o seu interesse em participar deste certame e espera a sua melhor proposta para que você possa ser nosso fornecedor.</w:t>
      </w:r>
    </w:p>
    <w:p w14:paraId="6018850A">
      <w:pPr>
        <w:spacing w:before="120" w:after="0" w:line="288" w:lineRule="auto"/>
        <w:ind w:firstLine="1134"/>
        <w:jc w:val="both"/>
        <w:rPr>
          <w:rFonts w:cs="Arial"/>
          <w:sz w:val="21"/>
          <w:szCs w:val="21"/>
        </w:rPr>
      </w:pPr>
      <w:r>
        <w:rPr>
          <w:rFonts w:cs="Arial"/>
          <w:sz w:val="21"/>
          <w:szCs w:val="21"/>
        </w:rPr>
        <w:t>Visando poupar o seu tempo e facilitar a apresentação da sua proposta neste certame, os documentos que você precisa ler para participar nesta disputa foram elaborados evitando, ao máximo, repetir informações. É fundamental que você leia, além do edital, TODOS os anexos, pois há regras importantes para a contratação, a serem observadas durante a execução do contrato, que não estarão indicadas no edital:</w:t>
      </w:r>
    </w:p>
    <w:p w14:paraId="3B835158">
      <w:pPr>
        <w:pStyle w:val="41"/>
        <w:numPr>
          <w:ilvl w:val="1"/>
          <w:numId w:val="8"/>
        </w:numPr>
        <w:spacing w:before="120" w:after="0" w:line="288" w:lineRule="auto"/>
        <w:ind w:left="1474" w:hanging="340"/>
        <w:contextualSpacing w:val="0"/>
        <w:jc w:val="both"/>
        <w:rPr>
          <w:rFonts w:cs="Arial"/>
          <w:sz w:val="21"/>
          <w:szCs w:val="21"/>
        </w:rPr>
      </w:pPr>
      <w:r>
        <w:rPr>
          <w:rFonts w:cs="Arial"/>
          <w:sz w:val="21"/>
          <w:szCs w:val="21"/>
        </w:rPr>
        <w:t>Anexo I – Especificações do objeto e julgamento da amostra, se for o caso;</w:t>
      </w:r>
    </w:p>
    <w:p w14:paraId="04B0062A">
      <w:pPr>
        <w:pStyle w:val="41"/>
        <w:numPr>
          <w:ilvl w:val="1"/>
          <w:numId w:val="8"/>
        </w:numPr>
        <w:spacing w:before="120" w:after="0" w:line="288" w:lineRule="auto"/>
        <w:ind w:left="1474" w:hanging="340"/>
        <w:contextualSpacing w:val="0"/>
        <w:jc w:val="both"/>
        <w:rPr>
          <w:rFonts w:cs="Arial"/>
          <w:sz w:val="21"/>
          <w:szCs w:val="21"/>
        </w:rPr>
      </w:pPr>
      <w:r>
        <w:rPr>
          <w:rFonts w:cs="Arial"/>
          <w:sz w:val="21"/>
          <w:szCs w:val="21"/>
        </w:rPr>
        <w:t xml:space="preserve">Anexo II – Modelo de proposta; </w:t>
      </w:r>
    </w:p>
    <w:p w14:paraId="303CA23B">
      <w:pPr>
        <w:pStyle w:val="41"/>
        <w:numPr>
          <w:ilvl w:val="1"/>
          <w:numId w:val="8"/>
        </w:numPr>
        <w:spacing w:before="120" w:after="0" w:line="288" w:lineRule="auto"/>
        <w:ind w:left="1474" w:hanging="340"/>
        <w:contextualSpacing w:val="0"/>
        <w:jc w:val="both"/>
        <w:rPr>
          <w:rFonts w:cs="Arial"/>
          <w:sz w:val="21"/>
          <w:szCs w:val="21"/>
        </w:rPr>
      </w:pPr>
      <w:r>
        <w:rPr>
          <w:rFonts w:cs="Arial"/>
          <w:sz w:val="21"/>
          <w:szCs w:val="21"/>
        </w:rPr>
        <w:t xml:space="preserve">Anexo III – Minuta de ARP </w:t>
      </w:r>
      <w:r>
        <w:rPr>
          <w:rFonts w:cs="Arial"/>
          <w:sz w:val="21"/>
          <w:szCs w:val="21"/>
          <w:lang w:val="pt-BR"/>
        </w:rPr>
        <w:t>;</w:t>
      </w:r>
      <w:r>
        <w:rPr>
          <w:rFonts w:cs="Arial"/>
          <w:sz w:val="21"/>
          <w:szCs w:val="21"/>
        </w:rPr>
        <w:t xml:space="preserve"> </w:t>
      </w:r>
    </w:p>
    <w:p w14:paraId="6999B7F9">
      <w:pPr>
        <w:pStyle w:val="41"/>
        <w:numPr>
          <w:ilvl w:val="1"/>
          <w:numId w:val="8"/>
        </w:numPr>
        <w:spacing w:before="120" w:after="0" w:line="288" w:lineRule="auto"/>
        <w:ind w:left="1474" w:hanging="340"/>
        <w:contextualSpacing w:val="0"/>
        <w:jc w:val="both"/>
        <w:rPr>
          <w:rFonts w:cs="Arial"/>
          <w:sz w:val="21"/>
          <w:szCs w:val="21"/>
        </w:rPr>
      </w:pPr>
      <w:r>
        <w:rPr>
          <w:rFonts w:cs="Arial"/>
          <w:sz w:val="21"/>
          <w:szCs w:val="21"/>
          <w:lang w:val="pt-BR"/>
        </w:rPr>
        <w:t xml:space="preserve">Anexo IV - </w:t>
      </w:r>
      <w:r>
        <w:rPr>
          <w:rFonts w:cs="Arial"/>
          <w:sz w:val="21"/>
          <w:szCs w:val="21"/>
        </w:rPr>
        <w:t>Minuta de Contrato</w:t>
      </w:r>
      <w:r>
        <w:rPr>
          <w:rFonts w:hint="default" w:cs="Arial"/>
          <w:sz w:val="21"/>
          <w:szCs w:val="21"/>
          <w:lang w:val="pt-BR"/>
        </w:rPr>
        <w:t>;e</w:t>
      </w:r>
    </w:p>
    <w:p w14:paraId="55A6D2F8">
      <w:pPr>
        <w:pStyle w:val="41"/>
        <w:numPr>
          <w:ilvl w:val="1"/>
          <w:numId w:val="8"/>
        </w:numPr>
        <w:spacing w:before="120" w:after="0" w:line="288" w:lineRule="auto"/>
        <w:ind w:left="1474" w:hanging="340"/>
        <w:contextualSpacing w:val="0"/>
        <w:jc w:val="both"/>
        <w:rPr>
          <w:rFonts w:cs="Arial"/>
          <w:sz w:val="21"/>
          <w:szCs w:val="21"/>
        </w:rPr>
      </w:pPr>
      <w:r>
        <w:rPr>
          <w:rFonts w:hint="default" w:cs="Arial"/>
          <w:sz w:val="21"/>
          <w:szCs w:val="21"/>
          <w:lang w:val="pt-BR"/>
        </w:rPr>
        <w:t>Anexo I do Contrato - Manual Tributário.</w:t>
      </w:r>
    </w:p>
    <w:p w14:paraId="4438F86D">
      <w:pPr>
        <w:spacing w:before="120" w:after="0" w:line="288" w:lineRule="auto"/>
        <w:ind w:firstLine="1134"/>
        <w:jc w:val="both"/>
        <w:rPr>
          <w:rFonts w:cs="Arial"/>
          <w:color w:val="0000FF"/>
          <w:sz w:val="21"/>
          <w:szCs w:val="21"/>
        </w:rPr>
      </w:pPr>
      <w:r>
        <w:rPr>
          <w:rFonts w:cs="Arial"/>
          <w:sz w:val="21"/>
          <w:szCs w:val="21"/>
        </w:rPr>
        <w:t xml:space="preserve">Este edital traz as regras específicas para a sua participação e para a condução do certame. Todas as decisões serão tomadas com base no que o edital estabelece. Qualquer dúvida ou discordância deverá ser manifestada antes do início do certame, através do e-mail: </w:t>
      </w:r>
      <w:r>
        <w:rPr>
          <w:color w:val="0000FF"/>
          <w:sz w:val="21"/>
          <w:szCs w:val="21"/>
        </w:rPr>
        <w:fldChar w:fldCharType="begin"/>
      </w:r>
      <w:r>
        <w:rPr>
          <w:color w:val="0000FF"/>
          <w:sz w:val="21"/>
          <w:szCs w:val="21"/>
        </w:rPr>
        <w:instrText xml:space="preserve"> HYPERLINK "mailto:compras@paranavai.pr.gov.br" \h </w:instrText>
      </w:r>
      <w:r>
        <w:rPr>
          <w:color w:val="0000FF"/>
          <w:sz w:val="21"/>
          <w:szCs w:val="21"/>
        </w:rPr>
        <w:fldChar w:fldCharType="separate"/>
      </w:r>
      <w:r>
        <w:rPr>
          <w:rFonts w:cs="Arial"/>
          <w:color w:val="0000FF"/>
          <w:sz w:val="21"/>
          <w:szCs w:val="21"/>
        </w:rPr>
        <w:t>compras@paranavai.pr.gov.br</w:t>
      </w:r>
      <w:r>
        <w:rPr>
          <w:rFonts w:cs="Arial"/>
          <w:color w:val="0000FF"/>
          <w:sz w:val="21"/>
          <w:szCs w:val="21"/>
        </w:rPr>
        <w:fldChar w:fldCharType="end"/>
      </w:r>
      <w:r>
        <w:rPr>
          <w:rFonts w:cs="Arial"/>
          <w:color w:val="0000FF"/>
          <w:sz w:val="21"/>
          <w:szCs w:val="21"/>
        </w:rPr>
        <w:t>.</w:t>
      </w:r>
    </w:p>
    <w:p w14:paraId="71CF9868">
      <w:pPr>
        <w:spacing w:before="120" w:after="0" w:line="288" w:lineRule="auto"/>
        <w:ind w:firstLine="1134"/>
        <w:jc w:val="both"/>
        <w:rPr>
          <w:rFonts w:cs="Arial"/>
          <w:sz w:val="21"/>
          <w:szCs w:val="21"/>
        </w:rPr>
      </w:pPr>
      <w:r>
        <w:rPr>
          <w:rFonts w:cs="Arial"/>
          <w:sz w:val="21"/>
          <w:szCs w:val="21"/>
        </w:rPr>
        <w:t>As minutas da ata de registro de preços e do contrato trazem as cláusulas que serão redigidas no instrumento que formalizará o nosso negócio, se ele vier a acontecer. Nelas estão as obrigações das partes, as consequências para o seu descumprimento e as condições que regem a sua execução.</w:t>
      </w:r>
    </w:p>
    <w:p w14:paraId="454F28FB">
      <w:pPr>
        <w:spacing w:before="120" w:after="0" w:line="288" w:lineRule="auto"/>
        <w:ind w:firstLine="1134"/>
        <w:jc w:val="both"/>
        <w:rPr>
          <w:rFonts w:cs="Arial"/>
          <w:sz w:val="21"/>
          <w:szCs w:val="21"/>
        </w:rPr>
      </w:pPr>
      <w:r>
        <w:rPr>
          <w:rFonts w:cs="Arial"/>
          <w:sz w:val="21"/>
          <w:szCs w:val="21"/>
        </w:rPr>
        <w:t xml:space="preserve">As informações gerais, que se repetem nas licitações, estão em um Caderno de Normas Licitatórias e podem ser acessadas clicando nos links que estão no edital identificados com o </w:t>
      </w:r>
      <w:r>
        <w:rPr>
          <w:rFonts w:cs="Arial"/>
          <w:sz w:val="21"/>
          <w:szCs w:val="21"/>
          <w:u w:val="single"/>
        </w:rPr>
        <w:t>sublinhado</w:t>
      </w:r>
      <w:r>
        <w:rPr>
          <w:rFonts w:cs="Arial"/>
          <w:sz w:val="21"/>
          <w:szCs w:val="21"/>
        </w:rPr>
        <w:t xml:space="preserve">. Consideram-se partes integrantes deste edital os seus anexos e as normas do Caderno de Normas Licitatórias referidas neste edital. </w:t>
      </w:r>
    </w:p>
    <w:p w14:paraId="5B99F3BC">
      <w:pPr>
        <w:spacing w:before="120" w:after="0" w:line="288" w:lineRule="auto"/>
        <w:ind w:firstLine="1134"/>
        <w:jc w:val="both"/>
        <w:rPr>
          <w:rFonts w:cs="Arial"/>
          <w:sz w:val="21"/>
          <w:szCs w:val="21"/>
        </w:rPr>
      </w:pPr>
      <w:r>
        <w:rPr>
          <w:rFonts w:cs="Arial"/>
          <w:sz w:val="21"/>
          <w:szCs w:val="21"/>
        </w:rPr>
        <w:t>Os fornecedores que não estão acostumados com as licitações aqui do município de Paranavaí devem ler com atenção todas as informações gerais que estão nos links para entender os detalhes da licitação.</w:t>
      </w:r>
    </w:p>
    <w:p w14:paraId="152D6573">
      <w:pPr>
        <w:spacing w:before="120" w:after="0" w:line="288" w:lineRule="auto"/>
        <w:ind w:firstLine="1134"/>
        <w:jc w:val="both"/>
        <w:rPr>
          <w:rFonts w:cs="Arial"/>
          <w:sz w:val="21"/>
          <w:szCs w:val="21"/>
        </w:rPr>
      </w:pPr>
      <w:r>
        <w:rPr>
          <w:rFonts w:cs="Arial"/>
          <w:sz w:val="21"/>
          <w:szCs w:val="21"/>
        </w:rPr>
        <w:t>Existem, ainda, dois outros documentos que poderão lhe interessar e estão acessíveis no Pregão Eletrônico n°</w:t>
      </w:r>
      <w:r>
        <w:rPr>
          <w:rFonts w:hint="default" w:cs="Arial"/>
          <w:sz w:val="21"/>
          <w:szCs w:val="21"/>
          <w:lang w:val="pt-BR"/>
        </w:rPr>
        <w:t xml:space="preserve"> 012</w:t>
      </w:r>
      <w:r>
        <w:rPr>
          <w:rFonts w:cs="Arial"/>
          <w:sz w:val="21"/>
          <w:szCs w:val="21"/>
        </w:rPr>
        <w:t>/202</w:t>
      </w:r>
      <w:r>
        <w:rPr>
          <w:rFonts w:hint="default" w:cs="Arial"/>
          <w:sz w:val="21"/>
          <w:szCs w:val="21"/>
          <w:lang w:val="pt-BR"/>
        </w:rPr>
        <w:t>6</w:t>
      </w:r>
      <w:r>
        <w:rPr>
          <w:rFonts w:cs="Arial"/>
          <w:sz w:val="21"/>
          <w:szCs w:val="21"/>
        </w:rPr>
        <w:t xml:space="preserve">, disponível em: </w:t>
      </w:r>
      <w:r>
        <w:rPr>
          <w:sz w:val="21"/>
          <w:szCs w:val="21"/>
        </w:rPr>
        <w:fldChar w:fldCharType="begin"/>
      </w:r>
      <w:r>
        <w:rPr>
          <w:sz w:val="21"/>
          <w:szCs w:val="21"/>
        </w:rPr>
        <w:instrText xml:space="preserve"> HYPERLINK "https://paranavai.atende.net/transparencia/item/licitacoes-gerais" \h </w:instrText>
      </w:r>
      <w:r>
        <w:rPr>
          <w:sz w:val="21"/>
          <w:szCs w:val="21"/>
        </w:rPr>
        <w:fldChar w:fldCharType="separate"/>
      </w:r>
      <w:r>
        <w:rPr>
          <w:rStyle w:val="15"/>
          <w:rFonts w:cs="Arial"/>
          <w:sz w:val="21"/>
          <w:szCs w:val="21"/>
        </w:rPr>
        <w:t>https://paranavai.atende.net/transparencia/item/licitacoes-gerais</w:t>
      </w:r>
      <w:r>
        <w:rPr>
          <w:rStyle w:val="15"/>
          <w:rFonts w:cs="Arial"/>
          <w:sz w:val="21"/>
          <w:szCs w:val="21"/>
        </w:rPr>
        <w:fldChar w:fldCharType="end"/>
      </w:r>
      <w:r>
        <w:rPr>
          <w:rFonts w:cs="Arial"/>
          <w:sz w:val="21"/>
          <w:szCs w:val="21"/>
        </w:rPr>
        <w:t xml:space="preserve">  onde serão divulgados todos os documentos e informações referentes a esta licitação:</w:t>
      </w:r>
    </w:p>
    <w:p w14:paraId="437C9C36">
      <w:pPr>
        <w:pStyle w:val="41"/>
        <w:numPr>
          <w:ilvl w:val="0"/>
          <w:numId w:val="7"/>
        </w:numPr>
        <w:spacing w:before="120" w:after="0" w:line="288" w:lineRule="auto"/>
        <w:ind w:left="284" w:hanging="284"/>
        <w:contextualSpacing w:val="0"/>
        <w:jc w:val="both"/>
        <w:rPr>
          <w:rFonts w:cs="Arial"/>
          <w:sz w:val="21"/>
          <w:szCs w:val="21"/>
        </w:rPr>
      </w:pPr>
      <w:r>
        <w:rPr>
          <w:rFonts w:cs="Arial"/>
          <w:sz w:val="21"/>
          <w:szCs w:val="21"/>
        </w:rPr>
        <w:t>o estudo técnico preliminar - ETP, que indica o caminho percorrido pelo Município até chegar na solução ora licitada como sendo a que melhor lhe atende; e</w:t>
      </w:r>
    </w:p>
    <w:p w14:paraId="75C3B096">
      <w:pPr>
        <w:pStyle w:val="41"/>
        <w:numPr>
          <w:ilvl w:val="0"/>
          <w:numId w:val="7"/>
        </w:numPr>
        <w:spacing w:before="120" w:after="0" w:line="288" w:lineRule="auto"/>
        <w:ind w:left="284" w:hanging="284"/>
        <w:contextualSpacing w:val="0"/>
        <w:jc w:val="both"/>
        <w:rPr>
          <w:rFonts w:cs="Arial"/>
          <w:sz w:val="21"/>
          <w:szCs w:val="21"/>
        </w:rPr>
      </w:pPr>
      <w:r>
        <w:rPr>
          <w:rFonts w:cs="Arial"/>
          <w:sz w:val="21"/>
          <w:szCs w:val="21"/>
        </w:rPr>
        <w:t>o termo de referência - TR, que possui a construção de todos os elementos do presente edital.</w:t>
      </w:r>
    </w:p>
    <w:p w14:paraId="717E0156">
      <w:pPr>
        <w:spacing w:before="120" w:after="0" w:line="288" w:lineRule="auto"/>
        <w:jc w:val="both"/>
        <w:rPr>
          <w:rFonts w:cs="Arial"/>
          <w:sz w:val="21"/>
          <w:szCs w:val="21"/>
        </w:rPr>
      </w:pPr>
      <w:r>
        <w:rPr>
          <w:rFonts w:cs="Arial"/>
          <w:sz w:val="21"/>
          <w:szCs w:val="21"/>
        </w:rPr>
        <w:t>Esses documentos não são de leitura obrigatória e contêm informações que já estarão aqui. Além disso, se houver qualquer divergência, prevalecerá a regra deste edital e anexos.</w:t>
      </w:r>
    </w:p>
    <w:p w14:paraId="3C9E359E">
      <w:pPr>
        <w:spacing w:before="120" w:after="0" w:line="288" w:lineRule="auto"/>
        <w:ind w:firstLine="1134"/>
        <w:jc w:val="both"/>
        <w:rPr>
          <w:rFonts w:cs="Arial"/>
          <w:sz w:val="21"/>
          <w:szCs w:val="21"/>
        </w:rPr>
        <w:sectPr>
          <w:headerReference r:id="rId7" w:type="first"/>
          <w:headerReference r:id="rId5" w:type="default"/>
          <w:headerReference r:id="rId6" w:type="even"/>
          <w:pgSz w:w="11906" w:h="16838"/>
          <w:pgMar w:top="2033" w:right="1133" w:bottom="851" w:left="1418" w:header="113" w:footer="0" w:gutter="0"/>
          <w:pgNumType w:fmt="decimal" w:start="1"/>
          <w:cols w:space="720" w:num="1"/>
          <w:formProt w:val="0"/>
          <w:docGrid w:linePitch="360" w:charSpace="0"/>
        </w:sectPr>
      </w:pPr>
      <w:r>
        <w:rPr>
          <w:rFonts w:cs="Arial"/>
          <w:sz w:val="21"/>
          <w:szCs w:val="21"/>
        </w:rPr>
        <w:t>Bons negócios!</w:t>
      </w:r>
    </w:p>
    <w:p w14:paraId="760E7E7F">
      <w:pPr>
        <w:spacing w:before="0" w:after="0"/>
        <w:jc w:val="center"/>
        <w:rPr>
          <w:rFonts w:cs="Arial"/>
          <w:b/>
          <w:bCs/>
          <w:szCs w:val="24"/>
          <w:lang w:val="pt-BR"/>
        </w:rPr>
      </w:pPr>
    </w:p>
    <w:p w14:paraId="69D0E34F">
      <w:pPr>
        <w:spacing w:before="0" w:after="0"/>
        <w:jc w:val="center"/>
        <w:rPr>
          <w:rFonts w:hint="default" w:cs="Arial"/>
          <w:b/>
          <w:bCs/>
          <w:szCs w:val="24"/>
          <w:lang w:val="pt-BR"/>
        </w:rPr>
      </w:pPr>
      <w:r>
        <w:rPr>
          <w:rFonts w:hint="default" w:cs="Arial"/>
          <w:b/>
          <w:bCs/>
          <w:szCs w:val="24"/>
          <w:lang w:val="pt-BR"/>
        </w:rPr>
        <w:t xml:space="preserve"> </w:t>
      </w:r>
      <w:r>
        <w:rPr>
          <w:rFonts w:cs="Arial"/>
          <w:b/>
          <w:bCs/>
          <w:szCs w:val="24"/>
        </w:rPr>
        <w:t>EDITAL</w:t>
      </w:r>
      <w:r>
        <w:rPr>
          <w:rFonts w:hint="default" w:cs="Arial"/>
          <w:b/>
          <w:bCs/>
          <w:szCs w:val="24"/>
          <w:lang w:val="pt-BR"/>
        </w:rPr>
        <w:t xml:space="preserve"> </w:t>
      </w:r>
      <w:r>
        <w:rPr>
          <w:rFonts w:cs="Arial"/>
          <w:b/>
          <w:bCs/>
          <w:szCs w:val="24"/>
        </w:rPr>
        <w:t xml:space="preserve"> DA </w:t>
      </w:r>
      <w:sdt>
        <w:sdtPr>
          <w:alias w:val="Edital"/>
          <w:tag w:val="Edital"/>
          <w:id w:val="514115231"/>
          <w:placeholder>
            <w:docPart w:val="1C4A274A9FCE422F8DD809D0163BBAA7"/>
          </w:placeholder>
          <w:comboBox>
            <w:listItem w:displayText="CLIQUE PARA ESCOLHER UMA OPÇÃO" w:value="CLIQUE PARA ESCOLHER UMA OPÇÃO"/>
            <w:listItem w:displayText="LICITAÇÃO" w:value="LICITAÇÃO"/>
            <w:listItem w:displayText="DISPENSA ELETRÔNICA" w:value="DISPENSA ELETRÔNICA"/>
          </w:comboBox>
        </w:sdtPr>
        <w:sdtContent>
          <w:r>
            <w:rPr>
              <w:rFonts w:cs="Arial"/>
              <w:b/>
              <w:bCs/>
              <w:szCs w:val="24"/>
            </w:rPr>
            <w:t>LICITAÇÃO</w:t>
          </w:r>
        </w:sdtContent>
      </w:sdt>
      <w:r>
        <w:rPr>
          <w:rFonts w:cs="Arial"/>
          <w:b/>
          <w:bCs/>
          <w:szCs w:val="24"/>
        </w:rPr>
        <w:t xml:space="preserve"> Nº</w:t>
      </w:r>
      <w:r>
        <w:rPr>
          <w:rFonts w:hint="default" w:cs="Arial"/>
          <w:b/>
          <w:bCs/>
          <w:szCs w:val="24"/>
          <w:lang w:val="pt-BR"/>
        </w:rPr>
        <w:t xml:space="preserve"> 012/2026</w:t>
      </w:r>
      <w:r>
        <w:rPr>
          <w:rFonts w:cs="Arial"/>
          <w:b/>
          <w:bCs/>
          <w:szCs w:val="24"/>
        </w:rPr>
        <w:t xml:space="preserve">  </w:t>
      </w:r>
      <w:r>
        <w:rPr>
          <w:rFonts w:hint="default" w:cs="Arial"/>
          <w:b/>
          <w:bCs/>
          <w:szCs w:val="24"/>
          <w:lang w:val="pt-BR"/>
        </w:rPr>
        <w:t xml:space="preserve"> - RETIFICADO</w:t>
      </w:r>
    </w:p>
    <w:p w14:paraId="68CAAEC6">
      <w:pPr>
        <w:spacing w:before="0" w:after="0"/>
        <w:jc w:val="center"/>
        <w:rPr>
          <w:rFonts w:cs="Arial"/>
          <w:szCs w:val="24"/>
        </w:rPr>
      </w:pPr>
      <w:r>
        <w:rPr>
          <w:rFonts w:cs="Arial"/>
          <w:szCs w:val="24"/>
        </w:rPr>
        <w:t xml:space="preserve">MUNICÍPIO DE PARANAVAÍ </w:t>
      </w:r>
    </w:p>
    <w:p w14:paraId="7D558978">
      <w:pPr>
        <w:jc w:val="center"/>
        <w:rPr>
          <w:rFonts w:hint="default" w:cs="Arial"/>
          <w:b/>
          <w:bCs/>
          <w:szCs w:val="24"/>
          <w:lang w:val="pt-BR"/>
        </w:rPr>
      </w:pPr>
      <w:r>
        <w:rPr>
          <w:rFonts w:cs="Arial"/>
          <w:b/>
          <w:bCs/>
          <w:szCs w:val="24"/>
        </w:rPr>
        <w:t>Processo Administrativo nº</w:t>
      </w:r>
      <w:r>
        <w:rPr>
          <w:rFonts w:hint="default" w:cs="Arial"/>
          <w:b/>
          <w:bCs/>
          <w:szCs w:val="24"/>
          <w:lang w:val="pt-BR"/>
        </w:rPr>
        <w:t xml:space="preserve"> 017</w:t>
      </w:r>
      <w:r>
        <w:rPr>
          <w:rFonts w:cs="Arial"/>
          <w:b/>
          <w:bCs/>
          <w:szCs w:val="24"/>
        </w:rPr>
        <w:t>/202</w:t>
      </w:r>
      <w:r>
        <w:rPr>
          <w:rFonts w:hint="default" w:cs="Arial"/>
          <w:b/>
          <w:bCs/>
          <w:szCs w:val="24"/>
          <w:lang w:val="pt-BR"/>
        </w:rPr>
        <w:t>6</w:t>
      </w:r>
    </w:p>
    <w:p w14:paraId="1A6A3421">
      <w:pPr>
        <w:pStyle w:val="117"/>
        <w:numPr>
          <w:ilvl w:val="0"/>
          <w:numId w:val="4"/>
        </w:numPr>
        <w:ind w:left="360" w:right="0" w:rightChars="0" w:hanging="360"/>
      </w:pPr>
      <w:r>
        <w:t>INFORMAÇÕES GERAIS</w:t>
      </w:r>
    </w:p>
    <w:p w14:paraId="5C6D890C">
      <w:pPr>
        <w:pStyle w:val="41"/>
        <w:tabs>
          <w:tab w:val="left" w:pos="567"/>
        </w:tabs>
        <w:spacing w:before="0" w:after="0"/>
        <w:ind w:left="0" w:right="1034"/>
        <w:contextualSpacing w:val="0"/>
        <w:jc w:val="both"/>
        <w:rPr>
          <w:rFonts w:cs="Arial"/>
          <w:szCs w:val="24"/>
        </w:rPr>
      </w:pPr>
    </w:p>
    <w:p w14:paraId="74245189">
      <w:pPr>
        <w:pStyle w:val="41"/>
        <w:numPr>
          <w:ilvl w:val="1"/>
          <w:numId w:val="4"/>
        </w:numPr>
        <w:spacing w:before="0" w:after="0"/>
        <w:ind w:left="0" w:right="0" w:rightChars="0" w:firstLine="0"/>
        <w:contextualSpacing w:val="0"/>
        <w:jc w:val="both"/>
        <w:rPr>
          <w:rFonts w:hint="default" w:ascii="Arial" w:hAnsi="Arial" w:cs="Arial"/>
          <w:szCs w:val="24"/>
          <w:highlight w:val="none"/>
          <w:lang w:val="pt-BR"/>
        </w:rPr>
      </w:pPr>
      <w:r>
        <w:rPr>
          <w:rFonts w:cs="Arial"/>
          <w:szCs w:val="24"/>
        </w:rPr>
        <w:t>Objeto do certame:</w:t>
      </w:r>
      <w:bookmarkStart w:id="0" w:name="_Hlk115684682"/>
      <w:r>
        <w:t xml:space="preserve"> </w:t>
      </w:r>
      <w:bookmarkEnd w:id="0"/>
      <w:r>
        <w:t xml:space="preserve"> Registro de preços para aquisição futura e parcelada de Massa asfáltica usinada a quente (CBUQ) para aplicação à frio, a serem utilizados em execução de reparações </w:t>
      </w:r>
      <w:r>
        <w:rPr>
          <w:spacing w:val="-2"/>
        </w:rPr>
        <w:t>asfálticas</w:t>
      </w:r>
      <w:r>
        <w:rPr>
          <w:rFonts w:hint="default"/>
          <w:spacing w:val="-2"/>
          <w:lang w:val="pt-BR"/>
        </w:rPr>
        <w:t>.</w:t>
      </w:r>
    </w:p>
    <w:p w14:paraId="4AA1A2CB">
      <w:pPr>
        <w:pStyle w:val="41"/>
        <w:numPr>
          <w:ilvl w:val="1"/>
          <w:numId w:val="4"/>
        </w:numPr>
        <w:tabs>
          <w:tab w:val="clear" w:pos="0"/>
        </w:tabs>
        <w:spacing w:before="0" w:after="0"/>
        <w:ind w:left="0" w:leftChars="0" w:right="0" w:rightChars="0" w:firstLine="0" w:firstLineChars="0"/>
        <w:contextualSpacing/>
        <w:jc w:val="both"/>
        <w:rPr>
          <w:rFonts w:cs="Arial"/>
          <w:bCs/>
        </w:rPr>
      </w:pPr>
      <w:r>
        <w:rPr>
          <w:rStyle w:val="59"/>
          <w:rFonts w:hint="default" w:cs="Arial"/>
          <w:color w:val="000000"/>
          <w:shd w:val="clear" w:fill="FFFFFF"/>
          <w:lang w:val="pt-BR"/>
        </w:rPr>
        <w:t>Data do certame e horário de inicio da sessão</w:t>
      </w:r>
      <w:r>
        <w:rPr>
          <w:rStyle w:val="59"/>
          <w:rFonts w:cs="Arial"/>
          <w:color w:val="000000"/>
          <w:shd w:val="clear" w:fill="FFFFFF"/>
        </w:rPr>
        <w:t xml:space="preserve">: </w:t>
      </w:r>
      <w:r>
        <w:rPr>
          <w:rFonts w:cs="Arial"/>
          <w:bCs/>
        </w:rPr>
        <w:t xml:space="preserve"> </w:t>
      </w:r>
      <w:r>
        <w:rPr>
          <w:rFonts w:hint="default" w:cs="Arial"/>
          <w:bCs/>
          <w:lang w:val="pt-BR"/>
        </w:rPr>
        <w:t xml:space="preserve">27 de abril de </w:t>
      </w:r>
      <w:r>
        <w:rPr>
          <w:rFonts w:cs="Arial"/>
          <w:bCs/>
        </w:rPr>
        <w:t>202</w:t>
      </w:r>
      <w:r>
        <w:rPr>
          <w:rFonts w:hint="default" w:cs="Arial"/>
          <w:bCs/>
          <w:lang w:val="pt-BR"/>
        </w:rPr>
        <w:t>6, as 09:00 horas</w:t>
      </w:r>
      <w:r>
        <w:rPr>
          <w:rFonts w:cs="Arial"/>
          <w:bCs/>
        </w:rPr>
        <w:t>.</w:t>
      </w:r>
    </w:p>
    <w:p w14:paraId="0886B648">
      <w:pPr>
        <w:pStyle w:val="41"/>
        <w:numPr>
          <w:ilvl w:val="1"/>
          <w:numId w:val="4"/>
        </w:numPr>
        <w:tabs>
          <w:tab w:val="left" w:pos="567"/>
        </w:tabs>
        <w:spacing w:before="0" w:after="0"/>
        <w:ind w:left="0" w:right="0" w:rightChars="0" w:firstLine="0"/>
        <w:contextualSpacing w:val="0"/>
        <w:jc w:val="both"/>
        <w:rPr>
          <w:rFonts w:cs="Arial"/>
          <w:szCs w:val="24"/>
        </w:rPr>
      </w:pPr>
      <w:r>
        <w:rPr>
          <w:rFonts w:cs="Arial"/>
          <w:szCs w:val="24"/>
        </w:rPr>
        <w:t xml:space="preserve">Prazo para solicitar </w:t>
      </w:r>
      <w:r>
        <w:rPr>
          <w:color w:val="0000FF"/>
        </w:rPr>
        <w:fldChar w:fldCharType="begin"/>
      </w:r>
      <w:r>
        <w:rPr>
          <w:color w:val="0000FF"/>
        </w:rPr>
        <w:instrText xml:space="preserve"> HYPERLINK "https://docs.google.com/document/d/e/2PACX-1vT-EqoECVnXQI7eZ-MhVXnKgkzxmtMIarjCLZT171rf-NntH_kH6idp4wgqMXBG2feZWVVNhkQhxaaD/pub" \h </w:instrText>
      </w:r>
      <w:r>
        <w:rPr>
          <w:color w:val="0000FF"/>
        </w:rPr>
        <w:fldChar w:fldCharType="separate"/>
      </w:r>
      <w:r>
        <w:rPr>
          <w:rStyle w:val="15"/>
          <w:rFonts w:cs="Arial"/>
          <w:color w:val="0000FF"/>
          <w:szCs w:val="24"/>
        </w:rPr>
        <w:t>esclarecimento e impugnar</w:t>
      </w:r>
      <w:r>
        <w:rPr>
          <w:rStyle w:val="15"/>
          <w:rFonts w:cs="Arial"/>
          <w:color w:val="0000FF"/>
          <w:szCs w:val="24"/>
        </w:rPr>
        <w:fldChar w:fldCharType="end"/>
      </w:r>
      <w:r>
        <w:rPr>
          <w:rFonts w:cs="Arial"/>
          <w:szCs w:val="24"/>
        </w:rPr>
        <w:t xml:space="preserve"> </w:t>
      </w:r>
      <w:r>
        <w:rPr>
          <w:rFonts w:hint="default" w:cs="Arial"/>
          <w:szCs w:val="24"/>
          <w:lang w:val="pt-BR"/>
        </w:rPr>
        <w:t>d</w:t>
      </w:r>
      <w:r>
        <w:rPr>
          <w:rFonts w:cs="Arial"/>
          <w:szCs w:val="24"/>
        </w:rPr>
        <w:t>o edital:</w:t>
      </w:r>
      <w:r>
        <w:rPr>
          <w:rFonts w:hint="default" w:cs="Arial"/>
          <w:szCs w:val="24"/>
          <w:lang w:val="pt-BR"/>
        </w:rPr>
        <w:t xml:space="preserve"> 22/04</w:t>
      </w:r>
      <w:r>
        <w:rPr>
          <w:rFonts w:cs="Arial"/>
          <w:szCs w:val="24"/>
        </w:rPr>
        <w:t>/202</w:t>
      </w:r>
      <w:r>
        <w:rPr>
          <w:rFonts w:hint="default" w:cs="Arial"/>
          <w:szCs w:val="24"/>
          <w:lang w:val="pt-BR"/>
        </w:rPr>
        <w:t>6</w:t>
      </w:r>
      <w:r>
        <w:rPr>
          <w:rFonts w:cs="Arial"/>
          <w:szCs w:val="24"/>
        </w:rPr>
        <w:t xml:space="preserve"> às 23h59min.  </w:t>
      </w:r>
    </w:p>
    <w:p w14:paraId="63FA7474">
      <w:pPr>
        <w:pStyle w:val="41"/>
        <w:numPr>
          <w:ilvl w:val="1"/>
          <w:numId w:val="4"/>
        </w:numPr>
        <w:tabs>
          <w:tab w:val="left" w:pos="567"/>
        </w:tabs>
        <w:spacing w:before="0" w:after="0"/>
        <w:ind w:left="0" w:right="0" w:rightChars="0" w:firstLine="0"/>
        <w:contextualSpacing w:val="0"/>
        <w:jc w:val="both"/>
        <w:rPr>
          <w:rFonts w:cs="Arial"/>
          <w:szCs w:val="24"/>
        </w:rPr>
      </w:pPr>
      <w:r>
        <w:rPr>
          <w:rFonts w:cs="Arial"/>
          <w:bCs/>
        </w:rPr>
        <w:t xml:space="preserve">Referência de </w:t>
      </w:r>
      <w:r>
        <w:rPr>
          <w:rFonts w:hint="default" w:cs="Arial"/>
          <w:bCs/>
          <w:lang w:val="pt-BR"/>
        </w:rPr>
        <w:t>T</w:t>
      </w:r>
      <w:r>
        <w:rPr>
          <w:rFonts w:cs="Arial"/>
          <w:bCs/>
        </w:rPr>
        <w:t>empo: horário de Brasília (DF).</w:t>
      </w:r>
    </w:p>
    <w:p w14:paraId="36101E89">
      <w:pPr>
        <w:pStyle w:val="41"/>
        <w:numPr>
          <w:ilvl w:val="1"/>
          <w:numId w:val="4"/>
        </w:numPr>
        <w:spacing w:before="180" w:after="0"/>
        <w:ind w:left="0" w:right="0" w:rightChars="0" w:firstLine="0"/>
        <w:contextualSpacing w:val="0"/>
        <w:jc w:val="both"/>
        <w:rPr>
          <w:rFonts w:cs="Arial"/>
          <w:szCs w:val="24"/>
        </w:rPr>
      </w:pPr>
      <w:r>
        <w:rPr>
          <w:rFonts w:cs="Arial"/>
          <w:szCs w:val="24"/>
        </w:rPr>
        <w:t>Valor estimado total da contratação:</w:t>
      </w:r>
      <w:r>
        <w:rPr>
          <w:color w:val="auto"/>
          <w:sz w:val="24"/>
          <w:szCs w:val="24"/>
          <w:u w:val="single"/>
        </w:rPr>
        <w:t xml:space="preserve"> </w:t>
      </w:r>
      <w:bookmarkStart w:id="1" w:name="_Hlk180573132"/>
      <w:r>
        <w:rPr>
          <w:rFonts w:ascii="Arial" w:hAnsi="Arial" w:cs="Arial"/>
          <w:b/>
          <w:bCs/>
          <w:sz w:val="24"/>
          <w:szCs w:val="24"/>
          <w:u w:val="single"/>
        </w:rPr>
        <w:t xml:space="preserve">R$ </w:t>
      </w:r>
      <w:r>
        <w:rPr>
          <w:rFonts w:hint="default" w:cs="Arial"/>
          <w:b/>
          <w:bCs/>
          <w:sz w:val="24"/>
          <w:szCs w:val="24"/>
          <w:u w:val="single"/>
          <w:lang w:val="pt-BR"/>
        </w:rPr>
        <w:t>1.692.800,00</w:t>
      </w:r>
      <w:r>
        <w:rPr>
          <w:rFonts w:ascii="Arial" w:hAnsi="Arial" w:cs="Arial"/>
          <w:b w:val="0"/>
          <w:bCs w:val="0"/>
          <w:sz w:val="24"/>
          <w:szCs w:val="24"/>
          <w:u w:val="single"/>
        </w:rPr>
        <w:t xml:space="preserve"> (</w:t>
      </w:r>
      <w:r>
        <w:rPr>
          <w:rFonts w:hint="default" w:cs="Arial"/>
          <w:b w:val="0"/>
          <w:bCs w:val="0"/>
          <w:sz w:val="24"/>
          <w:szCs w:val="24"/>
          <w:u w:val="single"/>
          <w:lang w:val="pt-BR"/>
        </w:rPr>
        <w:t>Um milhão, seiscentos e noventa e dois mil e oitocentos  reais</w:t>
      </w:r>
      <w:r>
        <w:rPr>
          <w:rFonts w:ascii="Arial" w:hAnsi="Arial" w:cs="Arial"/>
          <w:b w:val="0"/>
          <w:bCs w:val="0"/>
          <w:sz w:val="24"/>
          <w:szCs w:val="24"/>
          <w:u w:val="single"/>
        </w:rPr>
        <w:t>)</w:t>
      </w:r>
      <w:bookmarkEnd w:id="1"/>
      <w:r>
        <w:rPr>
          <w:rFonts w:hint="default" w:cs="Arial"/>
          <w:b w:val="0"/>
          <w:bCs w:val="0"/>
          <w:sz w:val="24"/>
          <w:szCs w:val="24"/>
          <w:u w:val="single"/>
          <w:lang w:val="pt-BR"/>
        </w:rPr>
        <w:t>.</w:t>
      </w:r>
    </w:p>
    <w:p w14:paraId="7FADC286">
      <w:pPr>
        <w:pStyle w:val="41"/>
        <w:numPr>
          <w:ilvl w:val="1"/>
          <w:numId w:val="4"/>
        </w:numPr>
        <w:tabs>
          <w:tab w:val="left" w:pos="567"/>
        </w:tabs>
        <w:spacing w:before="180" w:after="0"/>
        <w:ind w:left="0" w:right="0" w:rightChars="0" w:firstLine="0"/>
        <w:contextualSpacing w:val="0"/>
        <w:jc w:val="both"/>
        <w:rPr>
          <w:rFonts w:cs="Arial"/>
          <w:szCs w:val="24"/>
        </w:rPr>
      </w:pPr>
      <w:r>
        <w:rPr>
          <w:rFonts w:cs="Arial"/>
          <w:szCs w:val="24"/>
        </w:rPr>
        <w:t xml:space="preserve">Rito da seleção: </w:t>
      </w:r>
      <w:r>
        <w:rPr>
          <w:rFonts w:cs="Arial"/>
          <w:color w:val="0000FF"/>
          <w:szCs w:val="24"/>
        </w:rPr>
        <w:t>Pregão</w:t>
      </w:r>
    </w:p>
    <w:p w14:paraId="01772912">
      <w:pPr>
        <w:pStyle w:val="41"/>
        <w:numPr>
          <w:ilvl w:val="1"/>
          <w:numId w:val="4"/>
        </w:numPr>
        <w:tabs>
          <w:tab w:val="left" w:pos="567"/>
        </w:tabs>
        <w:spacing w:before="180" w:after="0"/>
        <w:ind w:left="0" w:right="0" w:rightChars="0" w:firstLine="0"/>
        <w:contextualSpacing w:val="0"/>
        <w:jc w:val="both"/>
        <w:rPr>
          <w:rFonts w:hint="default" w:ascii="Arial" w:hAnsi="Arial" w:eastAsia="Times New Roman" w:cs="Arial"/>
          <w:color w:val="0000FF"/>
          <w:sz w:val="22"/>
          <w:szCs w:val="22"/>
          <w:u w:val="single"/>
          <w:lang w:eastAsia="pt-BR"/>
        </w:rPr>
      </w:pPr>
      <w:r>
        <w:rPr>
          <w:rFonts w:cs="Arial"/>
          <w:szCs w:val="24"/>
        </w:rPr>
        <w:t xml:space="preserve">Forma da seleção: </w:t>
      </w:r>
      <w:r>
        <w:rPr>
          <w:color w:val="0000FF"/>
        </w:rPr>
        <w:fldChar w:fldCharType="begin"/>
      </w:r>
      <w:r>
        <w:rPr>
          <w:color w:val="0000FF"/>
        </w:rPr>
        <w:instrText xml:space="preserve"> HYPERLINK "https://docs.google.com/document/d/e/2PACX-1vSGTjX0CeTjL7OBZfJS9Hadr5J5k4FCkdYOsUBMr6_szQYGoL0w6Snb_pG5ZCYPlVBijBuAT3Vy2HIF/pub" \h </w:instrText>
      </w:r>
      <w:r>
        <w:rPr>
          <w:color w:val="0000FF"/>
        </w:rPr>
        <w:fldChar w:fldCharType="separate"/>
      </w:r>
      <w:r>
        <w:rPr>
          <w:rStyle w:val="15"/>
          <w:rFonts w:cs="Arial"/>
          <w:color w:val="0000FF"/>
          <w:szCs w:val="24"/>
        </w:rPr>
        <w:t>eletrônica</w:t>
      </w:r>
      <w:r>
        <w:rPr>
          <w:rStyle w:val="15"/>
          <w:rFonts w:cs="Arial"/>
          <w:color w:val="0000FF"/>
          <w:szCs w:val="24"/>
        </w:rPr>
        <w:fldChar w:fldCharType="end"/>
      </w:r>
    </w:p>
    <w:p w14:paraId="354574F6">
      <w:pPr>
        <w:pStyle w:val="41"/>
        <w:numPr>
          <w:ilvl w:val="1"/>
          <w:numId w:val="4"/>
        </w:numPr>
        <w:tabs>
          <w:tab w:val="left" w:pos="567"/>
        </w:tabs>
        <w:spacing w:before="180" w:after="0"/>
        <w:ind w:left="0" w:right="0" w:rightChars="0" w:firstLine="0"/>
        <w:contextualSpacing w:val="0"/>
        <w:jc w:val="both"/>
        <w:rPr>
          <w:rFonts w:hint="default" w:ascii="Arial" w:hAnsi="Arial" w:eastAsia="Times New Roman" w:cs="Arial"/>
          <w:color w:val="0000FF"/>
          <w:sz w:val="24"/>
          <w:szCs w:val="24"/>
          <w:u w:val="single"/>
          <w:lang w:eastAsia="pt-BR"/>
        </w:rPr>
      </w:pPr>
      <w:r>
        <w:rPr>
          <w:rFonts w:cs="Arial"/>
          <w:bCs/>
        </w:rPr>
        <w:t xml:space="preserve">Local do certame: </w:t>
      </w:r>
      <w:r>
        <w:rPr>
          <w:rStyle w:val="29"/>
          <w:rFonts w:cs="Arial"/>
          <w:lang w:val="pt-BR"/>
        </w:rPr>
        <w:t xml:space="preserve"> </w:t>
      </w:r>
      <w:r>
        <w:rPr>
          <w:color w:val="0000FF"/>
        </w:rPr>
        <w:fldChar w:fldCharType="begin"/>
      </w:r>
      <w:r>
        <w:rPr>
          <w:color w:val="0000FF"/>
        </w:rPr>
        <w:instrText xml:space="preserve"> HYPERLINK "https://www.gov.br/compras/pt-br" \h </w:instrText>
      </w:r>
      <w:r>
        <w:rPr>
          <w:color w:val="0000FF"/>
        </w:rPr>
        <w:fldChar w:fldCharType="separate"/>
      </w:r>
      <w:r>
        <w:rPr>
          <w:rStyle w:val="15"/>
          <w:rFonts w:cs="Arial"/>
          <w:color w:val="0000FF"/>
          <w:sz w:val="24"/>
          <w:szCs w:val="24"/>
        </w:rPr>
        <w:t>https://www.gov.br/compras/pt-br</w:t>
      </w:r>
      <w:r>
        <w:rPr>
          <w:rStyle w:val="15"/>
          <w:rFonts w:cs="Arial"/>
          <w:color w:val="0000FF"/>
          <w:sz w:val="24"/>
          <w:szCs w:val="24"/>
        </w:rPr>
        <w:fldChar w:fldCharType="end"/>
      </w:r>
      <w:r>
        <w:rPr>
          <w:rStyle w:val="15"/>
          <w:rFonts w:hint="default" w:cs="Arial"/>
          <w:color w:val="0000FF"/>
          <w:sz w:val="24"/>
          <w:szCs w:val="24"/>
          <w:lang w:val="pt-BR"/>
        </w:rPr>
        <w:t xml:space="preserve"> </w:t>
      </w:r>
      <w:r>
        <w:rPr>
          <w:rStyle w:val="15"/>
          <w:rFonts w:hint="default" w:cs="Arial"/>
          <w:color w:val="0000FF"/>
          <w:sz w:val="24"/>
          <w:szCs w:val="24"/>
          <w:u w:val="none"/>
          <w:lang w:val="pt-BR"/>
        </w:rPr>
        <w:t xml:space="preserve">    </w:t>
      </w:r>
      <w:r>
        <w:rPr>
          <w:rStyle w:val="15"/>
          <w:rFonts w:hint="default" w:cs="Arial"/>
          <w:color w:val="0000FF"/>
          <w:sz w:val="24"/>
          <w:szCs w:val="24"/>
          <w:lang w:val="pt-BR"/>
        </w:rPr>
        <w:t xml:space="preserve">UASG </w:t>
      </w:r>
      <w:r>
        <w:rPr>
          <w:rFonts w:hint="default" w:ascii="Arial" w:hAnsi="Arial" w:eastAsia="Times New Roman" w:cs="Arial"/>
          <w:color w:val="0000FF"/>
          <w:sz w:val="24"/>
          <w:szCs w:val="24"/>
          <w:u w:val="single"/>
          <w:lang w:eastAsia="pt-BR"/>
        </w:rPr>
        <w:t>987749</w:t>
      </w:r>
    </w:p>
    <w:p w14:paraId="7BEBF2AC">
      <w:pPr>
        <w:pStyle w:val="41"/>
        <w:numPr>
          <w:ilvl w:val="1"/>
          <w:numId w:val="4"/>
        </w:numPr>
        <w:tabs>
          <w:tab w:val="left" w:pos="567"/>
        </w:tabs>
        <w:spacing w:before="60" w:after="0"/>
        <w:ind w:left="0" w:right="0" w:rightChars="0" w:firstLine="0"/>
        <w:contextualSpacing w:val="0"/>
        <w:jc w:val="both"/>
        <w:rPr>
          <w:rStyle w:val="29"/>
          <w:rFonts w:cs="Arial"/>
          <w:color w:val="auto"/>
          <w:szCs w:val="24"/>
        </w:rPr>
      </w:pPr>
      <w:r>
        <w:rPr>
          <w:rFonts w:cs="Arial"/>
          <w:color w:val="000000" w:themeColor="text1"/>
          <w:szCs w:val="24"/>
          <w14:textFill>
            <w14:solidFill>
              <w14:schemeClr w14:val="tx1"/>
            </w14:solidFill>
          </w14:textFill>
        </w:rPr>
        <w:t xml:space="preserve">Critério de julgamento </w:t>
      </w:r>
      <w:r>
        <w:rPr>
          <w:color w:val="0000FF"/>
        </w:rPr>
        <w:fldChar w:fldCharType="begin"/>
      </w:r>
      <w:r>
        <w:rPr>
          <w:color w:val="0000FF"/>
        </w:rPr>
        <w:instrText xml:space="preserve"> HYPERLINK "https://docs.google.com/document/d/e/2PACX-1vSyAJ-scrVeVHkeV8eNSJ7JBDo2Nh6dwp_Hk4VMQWhtSER1MERIHvJd0umB5V42_VoNJO_CWkq8if89/pub" \h </w:instrText>
      </w:r>
      <w:r>
        <w:rPr>
          <w:color w:val="0000FF"/>
        </w:rPr>
        <w:fldChar w:fldCharType="separate"/>
      </w:r>
      <w:r>
        <w:rPr>
          <w:rStyle w:val="15"/>
          <w:rFonts w:cs="Arial"/>
          <w:color w:val="0000FF"/>
          <w:szCs w:val="24"/>
        </w:rPr>
        <w:t>Menor preço</w:t>
      </w:r>
      <w:r>
        <w:rPr>
          <w:rStyle w:val="15"/>
          <w:rFonts w:cs="Arial"/>
          <w:color w:val="0000FF"/>
          <w:szCs w:val="24"/>
        </w:rPr>
        <w:fldChar w:fldCharType="end"/>
      </w:r>
      <w:r>
        <w:rPr>
          <w:rStyle w:val="29"/>
          <w:rFonts w:cs="Arial"/>
          <w:color w:val="0000FF"/>
          <w:szCs w:val="24"/>
          <w:u w:val="none"/>
        </w:rPr>
        <w:t xml:space="preserve"> </w:t>
      </w:r>
    </w:p>
    <w:p w14:paraId="4CEB2F41">
      <w:pPr>
        <w:pStyle w:val="41"/>
        <w:numPr>
          <w:ilvl w:val="1"/>
          <w:numId w:val="4"/>
        </w:numPr>
        <w:tabs>
          <w:tab w:val="left" w:pos="567"/>
        </w:tabs>
        <w:spacing w:before="60" w:after="0"/>
        <w:ind w:left="0" w:right="0" w:rightChars="0" w:firstLine="0"/>
        <w:contextualSpacing w:val="0"/>
        <w:jc w:val="both"/>
        <w:rPr>
          <w:rStyle w:val="29"/>
          <w:rFonts w:cs="Arial"/>
          <w:szCs w:val="24"/>
        </w:rPr>
      </w:pPr>
      <w:r>
        <w:rPr>
          <w:rFonts w:cs="Arial"/>
          <w:szCs w:val="24"/>
        </w:rPr>
        <w:t xml:space="preserve">Modo de disputa: </w:t>
      </w:r>
      <w:r>
        <w:rPr>
          <w:color w:val="0000FF"/>
        </w:rPr>
        <w:fldChar w:fldCharType="begin"/>
      </w:r>
      <w:r>
        <w:rPr>
          <w:color w:val="0000FF"/>
        </w:rPr>
        <w:instrText xml:space="preserve"> HYPERLINK "https://docs.google.com/document/d/e/2PACX-1vT5aMmTwclVVQBaEtw-_G0l1N3ft4K1HRBlq5nEbal_MDlFq7vU08vIewXJnJQaiM0M19W41Eyjf0Iv/pub" \h </w:instrText>
      </w:r>
      <w:r>
        <w:rPr>
          <w:color w:val="0000FF"/>
        </w:rPr>
        <w:fldChar w:fldCharType="separate"/>
      </w:r>
      <w:r>
        <w:rPr>
          <w:rStyle w:val="15"/>
          <w:rFonts w:cs="Arial"/>
          <w:color w:val="0000FF"/>
          <w:szCs w:val="24"/>
        </w:rPr>
        <w:t>Aberto na forma eletrônica</w:t>
      </w:r>
      <w:r>
        <w:rPr>
          <w:rStyle w:val="15"/>
          <w:rFonts w:cs="Arial"/>
          <w:color w:val="0000FF"/>
          <w:szCs w:val="24"/>
        </w:rPr>
        <w:fldChar w:fldCharType="end"/>
      </w:r>
      <w:r>
        <w:rPr>
          <w:rFonts w:cs="Arial"/>
          <w:szCs w:val="24"/>
        </w:rPr>
        <w:t xml:space="preserve"> </w:t>
      </w:r>
    </w:p>
    <w:p w14:paraId="4FEEB08A">
      <w:pPr>
        <w:pStyle w:val="41"/>
        <w:numPr>
          <w:ilvl w:val="2"/>
          <w:numId w:val="4"/>
        </w:numPr>
        <w:tabs>
          <w:tab w:val="left" w:pos="993"/>
        </w:tabs>
        <w:spacing w:before="180" w:after="0"/>
        <w:ind w:left="0" w:right="0" w:rightChars="0" w:firstLine="0"/>
        <w:contextualSpacing w:val="0"/>
        <w:jc w:val="both"/>
        <w:rPr>
          <w:rFonts w:cs="Arial"/>
          <w:szCs w:val="24"/>
        </w:rPr>
      </w:pPr>
      <w:r>
        <w:rPr>
          <w:rFonts w:cs="Arial"/>
          <w:szCs w:val="24"/>
        </w:rPr>
        <w:t>Intervalo mínimo entre lances:</w:t>
      </w:r>
      <w:r>
        <w:t xml:space="preserve"> </w:t>
      </w:r>
      <w:r>
        <w:rPr>
          <w:rFonts w:cs="Arial"/>
          <w:szCs w:val="24"/>
        </w:rPr>
        <w:t xml:space="preserve">0,1% (um décimo por cento) em relação ao melhor lance ou proposta.    </w:t>
      </w:r>
    </w:p>
    <w:p w14:paraId="7A79D928">
      <w:pPr>
        <w:pStyle w:val="41"/>
        <w:numPr>
          <w:ilvl w:val="1"/>
          <w:numId w:val="4"/>
        </w:numPr>
        <w:spacing w:before="180" w:after="0"/>
        <w:ind w:left="0" w:right="0" w:rightChars="0" w:firstLine="0"/>
        <w:contextualSpacing w:val="0"/>
        <w:jc w:val="both"/>
        <w:rPr>
          <w:rFonts w:cs="Arial"/>
          <w:szCs w:val="24"/>
        </w:rPr>
      </w:pPr>
      <w:r>
        <w:rPr>
          <w:rFonts w:cs="Arial"/>
          <w:szCs w:val="24"/>
        </w:rPr>
        <w:t xml:space="preserve">Ordem das etapas: </w:t>
      </w:r>
      <w:r>
        <w:rPr>
          <w:color w:val="0000FF"/>
        </w:rPr>
        <w:fldChar w:fldCharType="begin"/>
      </w:r>
      <w:r>
        <w:rPr>
          <w:color w:val="0000FF"/>
        </w:rPr>
        <w:instrText xml:space="preserve"> HYPERLINK "https://docs.google.com/document/d/e/2PACX-1vRHNYam9qlYyJKziEUk0dizeIzIPgRl0EUe4BJPa8NkDA08W-uQIZgPvKgQoFY1kwGpuK1S3qppTKQ2/pub" \h </w:instrText>
      </w:r>
      <w:r>
        <w:rPr>
          <w:color w:val="0000FF"/>
        </w:rPr>
        <w:fldChar w:fldCharType="separate"/>
      </w:r>
      <w:r>
        <w:rPr>
          <w:rStyle w:val="15"/>
          <w:rFonts w:cs="Arial"/>
          <w:color w:val="0000FF"/>
          <w:szCs w:val="24"/>
        </w:rPr>
        <w:t>Rito procedimental comum</w:t>
      </w:r>
      <w:r>
        <w:rPr>
          <w:rStyle w:val="15"/>
          <w:rFonts w:cs="Arial"/>
          <w:color w:val="0000FF"/>
          <w:szCs w:val="24"/>
        </w:rPr>
        <w:fldChar w:fldCharType="end"/>
      </w:r>
      <w:r>
        <w:rPr>
          <w:rFonts w:cs="Arial"/>
          <w:color w:val="000000" w:themeColor="text1"/>
          <w:szCs w:val="24"/>
          <w14:textFill>
            <w14:solidFill>
              <w14:schemeClr w14:val="tx1"/>
            </w14:solidFill>
          </w14:textFill>
        </w:rPr>
        <w:t xml:space="preserve"> </w:t>
      </w:r>
    </w:p>
    <w:p w14:paraId="72EE2E9B">
      <w:pPr>
        <w:pStyle w:val="41"/>
        <w:numPr>
          <w:ilvl w:val="1"/>
          <w:numId w:val="4"/>
        </w:numPr>
        <w:tabs>
          <w:tab w:val="left" w:pos="567"/>
        </w:tabs>
        <w:spacing w:before="180" w:after="0"/>
        <w:ind w:left="0" w:right="0" w:rightChars="0" w:firstLine="0"/>
        <w:contextualSpacing w:val="0"/>
        <w:jc w:val="both"/>
        <w:rPr>
          <w:rFonts w:cs="Arial"/>
          <w:szCs w:val="24"/>
        </w:rPr>
      </w:pPr>
      <w:r>
        <w:rPr>
          <w:rFonts w:cs="Arial"/>
          <w:szCs w:val="24"/>
        </w:rPr>
        <w:t xml:space="preserve">Este certame será sob o Sistema de Registro de Preços? </w:t>
      </w:r>
      <w:r>
        <w:rPr>
          <w:rFonts w:hint="default" w:cs="Arial"/>
          <w:color w:val="0000FF"/>
          <w:szCs w:val="24"/>
          <w:lang w:val="pt-BR"/>
        </w:rPr>
        <w:t>S</w:t>
      </w:r>
      <w:r>
        <w:rPr>
          <w:rFonts w:cs="Arial"/>
          <w:color w:val="0000FF"/>
          <w:szCs w:val="24"/>
        </w:rPr>
        <w:t>im</w:t>
      </w:r>
      <w:r>
        <w:rPr>
          <w:rFonts w:cs="Arial"/>
          <w:szCs w:val="24"/>
        </w:rPr>
        <w:t xml:space="preserve">   </w:t>
      </w:r>
    </w:p>
    <w:p w14:paraId="3E4D15C4">
      <w:pPr>
        <w:pStyle w:val="41"/>
        <w:numPr>
          <w:ilvl w:val="1"/>
          <w:numId w:val="4"/>
        </w:numPr>
        <w:tabs>
          <w:tab w:val="left" w:pos="567"/>
          <w:tab w:val="left" w:pos="8640"/>
        </w:tabs>
        <w:spacing w:before="180" w:after="0"/>
        <w:ind w:left="0" w:right="0" w:rightChars="0" w:firstLine="0"/>
        <w:contextualSpacing w:val="0"/>
        <w:jc w:val="both"/>
        <w:rPr>
          <w:rFonts w:hint="default" w:ascii="Arial" w:hAnsi="Arial" w:eastAsia="Times New Roman" w:cs="Arial"/>
          <w:b/>
          <w:bCs/>
          <w:i w:val="0"/>
          <w:iCs w:val="0"/>
          <w:color w:val="000000"/>
          <w:sz w:val="24"/>
          <w:szCs w:val="24"/>
          <w:u w:val="single"/>
          <w:lang w:eastAsia="pt-BR"/>
        </w:rPr>
      </w:pPr>
      <w:r>
        <w:rPr>
          <w:color w:val="0000FF"/>
        </w:rPr>
        <w:fldChar w:fldCharType="begin"/>
      </w:r>
      <w:r>
        <w:rPr>
          <w:color w:val="0000FF"/>
        </w:rPr>
        <w:instrText xml:space="preserve"> HYPERLINK "https://docs.google.com/document/d/e/2PACX-1vQ-Ra0HAkEcS6At1UFzH_g6FTN3iFsDwe4doHzxc6aA_SUE3uWJKm8iezGm1ILUApQnb9csyzt_dgZt/pub" \h </w:instrText>
      </w:r>
      <w:r>
        <w:rPr>
          <w:color w:val="0000FF"/>
        </w:rPr>
        <w:fldChar w:fldCharType="separate"/>
      </w:r>
      <w:r>
        <w:rPr>
          <w:rStyle w:val="15"/>
          <w:rFonts w:cs="Arial"/>
          <w:color w:val="0000FF"/>
          <w:szCs w:val="24"/>
        </w:rPr>
        <w:t>Benefícios de Micro e Pequenas Empresas - MPE</w:t>
      </w:r>
      <w:r>
        <w:rPr>
          <w:rStyle w:val="15"/>
          <w:rFonts w:cs="Arial"/>
          <w:color w:val="0000FF"/>
          <w:szCs w:val="24"/>
        </w:rPr>
        <w:fldChar w:fldCharType="end"/>
      </w:r>
      <w:r>
        <w:rPr>
          <w:rFonts w:cs="Arial"/>
          <w:color w:val="0000FF"/>
          <w:szCs w:val="24"/>
        </w:rPr>
        <w:t>:</w:t>
      </w:r>
    </w:p>
    <w:p w14:paraId="1A35BAEA">
      <w:pPr>
        <w:pStyle w:val="41"/>
        <w:numPr>
          <w:ilvl w:val="0"/>
          <w:numId w:val="9"/>
        </w:numPr>
        <w:tabs>
          <w:tab w:val="clear" w:pos="420"/>
        </w:tabs>
        <w:spacing w:before="0" w:after="0" w:line="276" w:lineRule="auto"/>
        <w:ind w:left="420" w:leftChars="0" w:hanging="420" w:firstLineChars="0"/>
        <w:contextualSpacing/>
        <w:jc w:val="both"/>
        <w:rPr>
          <w:rFonts w:hint="default" w:cs="Arial"/>
          <w:b w:val="0"/>
          <w:bCs w:val="0"/>
          <w:color w:val="000000"/>
          <w:sz w:val="22"/>
          <w:u w:val="none"/>
          <w:lang w:val="pt-BR"/>
        </w:rPr>
      </w:pPr>
      <w:r>
        <w:rPr>
          <w:rFonts w:hint="default" w:cs="Arial"/>
          <w:b w:val="0"/>
          <w:bCs w:val="0"/>
          <w:color w:val="000000"/>
          <w:sz w:val="22"/>
          <w:u w:val="none"/>
          <w:lang w:val="pt-BR"/>
        </w:rPr>
        <w:t>Os Itens 01 e 02 é destinado a Ampla Concorrência, com benefício  as MPE de Empate Ficto e Comprovação tardia; e</w:t>
      </w:r>
    </w:p>
    <w:p w14:paraId="66318156">
      <w:pPr>
        <w:pStyle w:val="41"/>
        <w:numPr>
          <w:ilvl w:val="0"/>
          <w:numId w:val="10"/>
        </w:numPr>
        <w:tabs>
          <w:tab w:val="left" w:pos="567"/>
          <w:tab w:val="left" w:pos="8640"/>
          <w:tab w:val="clear" w:pos="420"/>
        </w:tabs>
        <w:spacing w:before="180" w:after="0"/>
        <w:ind w:left="420" w:leftChars="0" w:right="0" w:rightChars="0" w:hanging="420" w:firstLineChars="0"/>
        <w:contextualSpacing w:val="0"/>
        <w:jc w:val="both"/>
        <w:rPr>
          <w:b w:val="0"/>
          <w:bCs w:val="0"/>
          <w:sz w:val="22"/>
          <w:szCs w:val="22"/>
          <w:u w:val="none"/>
        </w:rPr>
      </w:pPr>
      <w:r>
        <w:rPr>
          <w:rFonts w:hint="default" w:cs="Arial"/>
          <w:b w:val="0"/>
          <w:bCs w:val="0"/>
          <w:color w:val="000000"/>
          <w:sz w:val="22"/>
          <w:u w:val="none"/>
          <w:lang w:val="pt-BR"/>
        </w:rPr>
        <w:t xml:space="preserve">Os itens 03 e 04 são </w:t>
      </w:r>
      <w:r>
        <w:rPr>
          <w:rFonts w:hint="default" w:cs="Arial"/>
          <w:b w:val="0"/>
          <w:bCs w:val="0"/>
          <w:color w:val="000000" w:themeColor="text1"/>
          <w:sz w:val="22"/>
          <w:szCs w:val="22"/>
          <w:u w:val="none"/>
          <w:lang w:val="pt-BR"/>
          <w14:textFill>
            <w14:solidFill>
              <w14:schemeClr w14:val="tx1"/>
            </w14:solidFill>
          </w14:textFill>
        </w:rPr>
        <w:t>Cota de 25%</w:t>
      </w:r>
      <w:r>
        <w:rPr>
          <w:b w:val="0"/>
          <w:bCs w:val="0"/>
          <w:spacing w:val="-4"/>
          <w:sz w:val="22"/>
          <w:szCs w:val="22"/>
          <w:u w:val="none"/>
        </w:rPr>
        <w:t xml:space="preserve"> </w:t>
      </w:r>
      <w:r>
        <w:rPr>
          <w:b w:val="0"/>
          <w:bCs w:val="0"/>
          <w:sz w:val="22"/>
          <w:szCs w:val="22"/>
          <w:u w:val="none"/>
        </w:rPr>
        <w:t>para</w:t>
      </w:r>
      <w:r>
        <w:rPr>
          <w:b w:val="0"/>
          <w:bCs w:val="0"/>
          <w:spacing w:val="-3"/>
          <w:sz w:val="22"/>
          <w:szCs w:val="22"/>
          <w:u w:val="none"/>
        </w:rPr>
        <w:t xml:space="preserve"> </w:t>
      </w:r>
      <w:r>
        <w:rPr>
          <w:b w:val="0"/>
          <w:bCs w:val="0"/>
          <w:sz w:val="22"/>
          <w:szCs w:val="22"/>
          <w:u w:val="none"/>
        </w:rPr>
        <w:t>MPE</w:t>
      </w:r>
      <w:r>
        <w:rPr>
          <w:b w:val="0"/>
          <w:bCs w:val="0"/>
          <w:spacing w:val="-3"/>
          <w:sz w:val="22"/>
          <w:szCs w:val="22"/>
          <w:u w:val="none"/>
        </w:rPr>
        <w:t xml:space="preserve"> </w:t>
      </w:r>
      <w:r>
        <w:rPr>
          <w:b w:val="0"/>
          <w:bCs w:val="0"/>
          <w:sz w:val="22"/>
          <w:szCs w:val="22"/>
          <w:u w:val="none"/>
        </w:rPr>
        <w:t>e</w:t>
      </w:r>
      <w:r>
        <w:rPr>
          <w:b w:val="0"/>
          <w:bCs w:val="0"/>
          <w:spacing w:val="-3"/>
          <w:sz w:val="22"/>
          <w:szCs w:val="22"/>
          <w:u w:val="none"/>
        </w:rPr>
        <w:t xml:space="preserve"> </w:t>
      </w:r>
      <w:r>
        <w:rPr>
          <w:b w:val="0"/>
          <w:bCs w:val="0"/>
          <w:sz w:val="22"/>
          <w:szCs w:val="22"/>
          <w:u w:val="none"/>
        </w:rPr>
        <w:t>com</w:t>
      </w:r>
      <w:r>
        <w:rPr>
          <w:b w:val="0"/>
          <w:bCs w:val="0"/>
          <w:spacing w:val="-4"/>
          <w:sz w:val="22"/>
          <w:szCs w:val="22"/>
          <w:u w:val="none"/>
        </w:rPr>
        <w:t xml:space="preserve"> </w:t>
      </w:r>
      <w:r>
        <w:rPr>
          <w:b w:val="0"/>
          <w:bCs w:val="0"/>
          <w:sz w:val="22"/>
          <w:szCs w:val="22"/>
          <w:u w:val="none"/>
        </w:rPr>
        <w:t>Prioridade</w:t>
      </w:r>
      <w:r>
        <w:rPr>
          <w:b w:val="0"/>
          <w:bCs w:val="0"/>
          <w:spacing w:val="-3"/>
          <w:sz w:val="22"/>
          <w:szCs w:val="22"/>
          <w:u w:val="none"/>
        </w:rPr>
        <w:t xml:space="preserve"> </w:t>
      </w:r>
      <w:r>
        <w:rPr>
          <w:b w:val="0"/>
          <w:bCs w:val="0"/>
          <w:sz w:val="22"/>
          <w:szCs w:val="22"/>
          <w:u w:val="none"/>
        </w:rPr>
        <w:t>de</w:t>
      </w:r>
      <w:r>
        <w:rPr>
          <w:b w:val="0"/>
          <w:bCs w:val="0"/>
          <w:spacing w:val="-3"/>
          <w:sz w:val="22"/>
          <w:szCs w:val="22"/>
          <w:u w:val="none"/>
        </w:rPr>
        <w:t xml:space="preserve"> </w:t>
      </w:r>
      <w:r>
        <w:rPr>
          <w:b w:val="0"/>
          <w:bCs w:val="0"/>
          <w:sz w:val="22"/>
          <w:szCs w:val="22"/>
          <w:u w:val="none"/>
        </w:rPr>
        <w:t>Contratação</w:t>
      </w:r>
      <w:r>
        <w:rPr>
          <w:b w:val="0"/>
          <w:bCs w:val="0"/>
          <w:spacing w:val="-3"/>
          <w:sz w:val="22"/>
          <w:szCs w:val="22"/>
          <w:u w:val="none"/>
        </w:rPr>
        <w:t xml:space="preserve"> </w:t>
      </w:r>
      <w:r>
        <w:rPr>
          <w:rFonts w:hint="default"/>
          <w:b w:val="0"/>
          <w:bCs w:val="0"/>
          <w:spacing w:val="-3"/>
          <w:sz w:val="22"/>
          <w:szCs w:val="22"/>
          <w:u w:val="none"/>
          <w:lang w:val="pt-BR"/>
        </w:rPr>
        <w:t xml:space="preserve"> Regional.</w:t>
      </w:r>
    </w:p>
    <w:p w14:paraId="4DD0E5E6">
      <w:pPr>
        <w:pStyle w:val="41"/>
        <w:numPr>
          <w:ilvl w:val="1"/>
          <w:numId w:val="4"/>
        </w:numPr>
        <w:tabs>
          <w:tab w:val="left" w:pos="567"/>
          <w:tab w:val="left" w:pos="8640"/>
        </w:tabs>
        <w:spacing w:before="180" w:after="0"/>
        <w:ind w:left="0" w:right="0" w:rightChars="0" w:firstLine="0"/>
        <w:contextualSpacing w:val="0"/>
        <w:jc w:val="both"/>
        <w:rPr>
          <w:rFonts w:hint="default" w:ascii="Arial" w:hAnsi="Arial" w:eastAsia="Times New Roman" w:cs="Arial"/>
          <w:b/>
          <w:bCs/>
          <w:i w:val="0"/>
          <w:iCs w:val="0"/>
          <w:color w:val="000000"/>
          <w:sz w:val="24"/>
          <w:szCs w:val="24"/>
          <w:u w:val="single"/>
          <w:lang w:eastAsia="pt-BR"/>
        </w:rPr>
      </w:pPr>
      <w:r>
        <w:rPr>
          <w:rFonts w:hint="default" w:eastAsia="Times New Roman" w:cs="Arial"/>
          <w:b/>
          <w:bCs/>
          <w:i w:val="0"/>
          <w:iCs w:val="0"/>
          <w:color w:val="000000"/>
          <w:sz w:val="24"/>
          <w:szCs w:val="24"/>
          <w:u w:val="single"/>
          <w:lang w:val="en-US" w:eastAsia="pt-BR"/>
        </w:rPr>
        <w:t xml:space="preserve"> </w:t>
      </w:r>
      <w:r>
        <w:rPr>
          <w:rFonts w:hint="default" w:ascii="Arial" w:hAnsi="Arial" w:eastAsia="Times New Roman" w:cs="Arial"/>
          <w:b/>
          <w:bCs/>
          <w:i w:val="0"/>
          <w:iCs w:val="0"/>
          <w:color w:val="000000"/>
          <w:sz w:val="24"/>
          <w:szCs w:val="24"/>
          <w:u w:val="single"/>
          <w:lang w:eastAsia="pt-BR"/>
        </w:rPr>
        <w:t xml:space="preserve">Se houver divergência entre as especificações técnicas do objeto descritas </w:t>
      </w:r>
      <w:r>
        <w:rPr>
          <w:rFonts w:hint="default" w:ascii="Arial" w:hAnsi="Arial" w:eastAsia="Times New Roman" w:cs="Arial"/>
          <w:b/>
          <w:bCs/>
          <w:i w:val="0"/>
          <w:iCs w:val="0"/>
          <w:color w:val="000000"/>
          <w:sz w:val="24"/>
          <w:szCs w:val="24"/>
          <w:u w:val="single"/>
          <w:lang w:val="en-US" w:eastAsia="pt-BR"/>
        </w:rPr>
        <w:t>em</w:t>
      </w:r>
      <w:r>
        <w:rPr>
          <w:rFonts w:hint="default" w:ascii="Arial" w:hAnsi="Arial" w:eastAsia="Times New Roman" w:cs="Arial"/>
          <w:b/>
          <w:bCs/>
          <w:i w:val="0"/>
          <w:iCs w:val="0"/>
          <w:color w:val="000000"/>
          <w:sz w:val="24"/>
          <w:szCs w:val="24"/>
          <w:u w:val="single"/>
          <w:lang w:eastAsia="pt-BR"/>
        </w:rPr>
        <w:t xml:space="preserve"> edital</w:t>
      </w:r>
      <w:r>
        <w:rPr>
          <w:rFonts w:hint="default" w:ascii="Arial" w:hAnsi="Arial" w:eastAsia="Times New Roman" w:cs="Arial"/>
          <w:b/>
          <w:bCs/>
          <w:i w:val="0"/>
          <w:iCs w:val="0"/>
          <w:color w:val="000000"/>
          <w:sz w:val="24"/>
          <w:szCs w:val="24"/>
          <w:u w:val="single"/>
          <w:lang w:val="en-US" w:eastAsia="pt-BR"/>
        </w:rPr>
        <w:t xml:space="preserve"> e anexos</w:t>
      </w:r>
      <w:r>
        <w:rPr>
          <w:rFonts w:hint="default" w:ascii="Arial" w:hAnsi="Arial" w:eastAsia="Times New Roman" w:cs="Arial"/>
          <w:b/>
          <w:bCs/>
          <w:i w:val="0"/>
          <w:iCs w:val="0"/>
          <w:color w:val="000000"/>
          <w:sz w:val="24"/>
          <w:szCs w:val="24"/>
          <w:u w:val="single"/>
          <w:lang w:eastAsia="pt-BR"/>
        </w:rPr>
        <w:t xml:space="preserve"> e aquelas utilizadas para incluir o item no sistema</w:t>
      </w:r>
      <w:r>
        <w:rPr>
          <w:rFonts w:hint="default" w:ascii="Arial" w:hAnsi="Arial" w:eastAsia="Times New Roman" w:cs="Arial"/>
          <w:b/>
          <w:bCs/>
          <w:i w:val="0"/>
          <w:iCs w:val="0"/>
          <w:color w:val="000000"/>
          <w:sz w:val="24"/>
          <w:szCs w:val="24"/>
          <w:u w:val="single"/>
          <w:lang w:val="en-US" w:eastAsia="pt-BR"/>
        </w:rPr>
        <w:t>/plataforma</w:t>
      </w:r>
      <w:r>
        <w:rPr>
          <w:rFonts w:hint="default" w:ascii="Arial" w:hAnsi="Arial" w:eastAsia="Times New Roman" w:cs="Arial"/>
          <w:b/>
          <w:bCs/>
          <w:i w:val="0"/>
          <w:iCs w:val="0"/>
          <w:color w:val="000000"/>
          <w:sz w:val="24"/>
          <w:szCs w:val="24"/>
          <w:u w:val="single"/>
          <w:lang w:eastAsia="pt-BR"/>
        </w:rPr>
        <w:t>, prevalecerão sempre as presentes neste instrumento convocatório, o qual vinculará a proposta da empresa.</w:t>
      </w:r>
    </w:p>
    <w:p w14:paraId="277653BD">
      <w:pPr>
        <w:pStyle w:val="117"/>
        <w:numPr>
          <w:ilvl w:val="0"/>
          <w:numId w:val="4"/>
        </w:numPr>
        <w:ind w:left="0" w:right="0" w:rightChars="0" w:firstLine="0"/>
      </w:pPr>
      <w:r>
        <w:t>PODERÃO PARTICIPAR DO CERTAME</w:t>
      </w:r>
    </w:p>
    <w:p w14:paraId="3803EFE6">
      <w:pPr>
        <w:pStyle w:val="41"/>
        <w:numPr>
          <w:ilvl w:val="1"/>
          <w:numId w:val="4"/>
        </w:numPr>
        <w:tabs>
          <w:tab w:val="left" w:pos="567"/>
        </w:tabs>
        <w:spacing w:before="180" w:after="0"/>
        <w:ind w:left="0" w:right="0" w:rightChars="0" w:firstLine="0"/>
        <w:contextualSpacing w:val="0"/>
        <w:jc w:val="both"/>
        <w:rPr>
          <w:rFonts w:cs="Arial"/>
          <w:color w:val="000000"/>
          <w:szCs w:val="24"/>
        </w:rPr>
      </w:pPr>
      <w:r>
        <w:rPr>
          <w:rFonts w:cs="Arial"/>
          <w:color w:val="000000"/>
          <w:szCs w:val="24"/>
        </w:rPr>
        <w:t>Quem for do ramo de atividade compatível com o objeto licitado;</w:t>
      </w:r>
    </w:p>
    <w:p w14:paraId="33858F9C">
      <w:pPr>
        <w:pStyle w:val="41"/>
        <w:numPr>
          <w:ilvl w:val="1"/>
          <w:numId w:val="4"/>
        </w:numPr>
        <w:tabs>
          <w:tab w:val="left" w:pos="567"/>
        </w:tabs>
        <w:spacing w:before="180" w:after="0"/>
        <w:ind w:left="0" w:right="0" w:rightChars="0" w:firstLine="0"/>
        <w:contextualSpacing w:val="0"/>
        <w:jc w:val="both"/>
        <w:rPr>
          <w:rFonts w:cs="Arial"/>
          <w:color w:val="000000"/>
          <w:szCs w:val="24"/>
        </w:rPr>
      </w:pPr>
      <w:r>
        <w:rPr>
          <w:rFonts w:cs="Arial"/>
          <w:color w:val="000000"/>
          <w:szCs w:val="24"/>
        </w:rPr>
        <w:t xml:space="preserve">Quem não estiver sancionado com suspensão do direito de licitar e contratar pelo município de Paranavaí ou com declaração de inidoneidade para licitar ou contratar por qualquer órgão ou </w:t>
      </w:r>
      <w:r>
        <w:rPr>
          <w:rFonts w:cs="Arial"/>
          <w:szCs w:val="24"/>
        </w:rPr>
        <w:t>entidade</w:t>
      </w:r>
      <w:r>
        <w:rPr>
          <w:rFonts w:cs="Arial"/>
          <w:color w:val="000000"/>
          <w:szCs w:val="24"/>
        </w:rPr>
        <w:t xml:space="preserve"> da Administração Pública;</w:t>
      </w:r>
    </w:p>
    <w:p w14:paraId="519561C2">
      <w:pPr>
        <w:pStyle w:val="41"/>
        <w:numPr>
          <w:ilvl w:val="1"/>
          <w:numId w:val="4"/>
        </w:numPr>
        <w:tabs>
          <w:tab w:val="left" w:pos="567"/>
        </w:tabs>
        <w:spacing w:before="180" w:after="0"/>
        <w:ind w:left="0" w:right="0" w:rightChars="0" w:firstLine="0"/>
        <w:contextualSpacing w:val="0"/>
        <w:jc w:val="both"/>
        <w:rPr>
          <w:rFonts w:cs="Arial"/>
          <w:color w:val="000000"/>
          <w:szCs w:val="24"/>
        </w:rPr>
      </w:pPr>
      <w:bookmarkStart w:id="2" w:name="art14iv"/>
      <w:bookmarkEnd w:id="2"/>
      <w:r>
        <w:rPr>
          <w:rFonts w:cs="Arial"/>
          <w:color w:val="000000"/>
          <w:szCs w:val="24"/>
        </w:rPr>
        <w:t>Quem não tiver vínculo de natureza técnica, comercial, econômica, financeira, trabalhista ou civil com autoridade municipal ou com agente público municipal que desempenhe função na licitação ou atue na fiscalização ou na gestão do contrato;</w:t>
      </w:r>
    </w:p>
    <w:p w14:paraId="01FE2215">
      <w:pPr>
        <w:pStyle w:val="41"/>
        <w:numPr>
          <w:ilvl w:val="1"/>
          <w:numId w:val="4"/>
        </w:numPr>
        <w:tabs>
          <w:tab w:val="left" w:pos="567"/>
        </w:tabs>
        <w:spacing w:before="180" w:after="0"/>
        <w:ind w:left="0" w:right="0" w:rightChars="0" w:firstLine="0"/>
        <w:contextualSpacing w:val="0"/>
        <w:jc w:val="both"/>
        <w:rPr>
          <w:rFonts w:cs="Arial"/>
          <w:color w:val="000000"/>
          <w:szCs w:val="24"/>
        </w:rPr>
      </w:pPr>
      <w:r>
        <w:rPr>
          <w:rFonts w:cs="Arial"/>
          <w:color w:val="000000"/>
          <w:szCs w:val="24"/>
        </w:rPr>
        <w:t>Quem não tiver cônjuge, companheiro ou parente em linha reta, colateral ou por afinidade, até o terceiro grau, autoridade municipal ou com agente público municipal que desempenhe função na licitação ou atue na fiscalização ou na gestão do contrato;</w:t>
      </w:r>
    </w:p>
    <w:p w14:paraId="715C8119">
      <w:pPr>
        <w:pStyle w:val="41"/>
        <w:numPr>
          <w:ilvl w:val="1"/>
          <w:numId w:val="4"/>
        </w:numPr>
        <w:tabs>
          <w:tab w:val="left" w:pos="567"/>
        </w:tabs>
        <w:spacing w:before="180" w:after="0"/>
        <w:ind w:left="0" w:right="0" w:rightChars="0" w:firstLine="0"/>
        <w:contextualSpacing w:val="0"/>
        <w:jc w:val="both"/>
        <w:rPr>
          <w:rFonts w:cs="Arial"/>
          <w:color w:val="000000"/>
          <w:szCs w:val="24"/>
        </w:rPr>
      </w:pPr>
      <w:bookmarkStart w:id="3" w:name="art14v"/>
      <w:bookmarkEnd w:id="3"/>
      <w:r>
        <w:rPr>
          <w:rFonts w:cs="Arial"/>
          <w:color w:val="000000"/>
          <w:szCs w:val="24"/>
        </w:rPr>
        <w:t>Empresas controladoras, controladas ou coligadas, nos termos da Lei nº 6.404, de 15 de dezembro de 1976, desde que não estejam concorrendo entre si; e</w:t>
      </w:r>
    </w:p>
    <w:p w14:paraId="056BC71D">
      <w:pPr>
        <w:pStyle w:val="41"/>
        <w:numPr>
          <w:ilvl w:val="1"/>
          <w:numId w:val="4"/>
        </w:numPr>
        <w:tabs>
          <w:tab w:val="left" w:pos="567"/>
        </w:tabs>
        <w:spacing w:before="180" w:after="0"/>
        <w:ind w:left="0" w:right="0" w:rightChars="0" w:firstLine="0"/>
        <w:contextualSpacing w:val="0"/>
        <w:jc w:val="both"/>
        <w:rPr>
          <w:rFonts w:cs="Arial"/>
          <w:color w:val="000000"/>
          <w:szCs w:val="24"/>
        </w:rPr>
      </w:pPr>
      <w:bookmarkStart w:id="4" w:name="art14vi"/>
      <w:bookmarkEnd w:id="4"/>
      <w:r>
        <w:rPr>
          <w:rFonts w:cs="Arial"/>
          <w:color w:val="000000"/>
          <w:szCs w:val="24"/>
        </w:rPr>
        <w:t>Quem, nos cinco anos anteriores à divulgação deste edital, não tiver sido condenado judicialmente, com trânsito em julgado, por exploração de trabalho infantil, por submissão de trabalhadores a condições análogas às de escravo ou por contratação de adolescentes nos casos vedados pela legislação trabalhista.</w:t>
      </w:r>
    </w:p>
    <w:p w14:paraId="58A4E00E">
      <w:pPr>
        <w:pStyle w:val="41"/>
        <w:numPr>
          <w:ilvl w:val="1"/>
          <w:numId w:val="4"/>
        </w:numPr>
        <w:tabs>
          <w:tab w:val="left" w:pos="567"/>
        </w:tabs>
        <w:spacing w:before="180" w:after="0"/>
        <w:ind w:left="0" w:right="0" w:rightChars="0" w:firstLine="0"/>
        <w:contextualSpacing w:val="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Empresas reunidas em </w:t>
      </w:r>
      <w:r>
        <w:fldChar w:fldCharType="begin"/>
      </w:r>
      <w:r>
        <w:instrText xml:space="preserve"> HYPERLINK "https://docs.google.com/document/d/e/2PACX-1vRj05_hSSurJoltOS7BcXL2FO64W7QtifCnT8MYakHfxQ6EpIBfB6jSEXU_Ti6NDSXOLIjaLRTglDmA/pub" \h </w:instrText>
      </w:r>
      <w:r>
        <w:fldChar w:fldCharType="separate"/>
      </w:r>
      <w:r>
        <w:rPr>
          <w:rStyle w:val="15"/>
          <w:rFonts w:cs="Arial"/>
          <w:szCs w:val="24"/>
        </w:rPr>
        <w:t>consórcios</w:t>
      </w:r>
      <w:r>
        <w:rPr>
          <w:rStyle w:val="15"/>
          <w:rFonts w:cs="Arial"/>
          <w:szCs w:val="24"/>
        </w:rPr>
        <w:fldChar w:fldCharType="end"/>
      </w:r>
      <w:r>
        <w:rPr>
          <w:rFonts w:cs="Arial"/>
          <w:color w:val="000000" w:themeColor="text1"/>
          <w:szCs w:val="24"/>
          <w14:textFill>
            <w14:solidFill>
              <w14:schemeClr w14:val="tx1"/>
            </w14:solidFill>
          </w14:textFill>
        </w:rPr>
        <w:t xml:space="preserve"> poderão participar desta licitação: SIM </w:t>
      </w:r>
      <w:r>
        <w:rPr>
          <w:rFonts w:cs="Arial"/>
          <w:szCs w:val="24"/>
        </w:rPr>
        <w:t xml:space="preserve"> </w:t>
      </w:r>
    </w:p>
    <w:p w14:paraId="6403EA90">
      <w:pPr>
        <w:pStyle w:val="41"/>
        <w:numPr>
          <w:ilvl w:val="1"/>
          <w:numId w:val="4"/>
        </w:numPr>
        <w:tabs>
          <w:tab w:val="left" w:pos="567"/>
        </w:tabs>
        <w:spacing w:before="180" w:after="0"/>
        <w:ind w:left="0" w:right="0" w:rightChars="0" w:firstLine="0"/>
        <w:contextualSpacing w:val="0"/>
        <w:jc w:val="both"/>
        <w:rPr>
          <w:rFonts w:cs="Arial"/>
          <w:color w:val="000000"/>
          <w:szCs w:val="24"/>
        </w:rPr>
      </w:pPr>
      <w:r>
        <w:rPr>
          <w:rStyle w:val="29"/>
          <w:rFonts w:cs="Arial"/>
          <w:color w:val="auto"/>
          <w:szCs w:val="24"/>
          <w:u w:val="none"/>
        </w:rPr>
        <w:t>Clique neste link:</w:t>
      </w:r>
      <w:r>
        <w:t xml:space="preserve"> </w:t>
      </w:r>
      <w:r>
        <w:fldChar w:fldCharType="begin"/>
      </w:r>
      <w:r>
        <w:instrText xml:space="preserve"> HYPERLINK "https://docs.google.com/document/d/e/2PACX-1vQH9_TiRcuQ5tbZbZ9PCKcCC4xyQUCbA7tnBh0tkukeie9xHt890jhuI-1b1t6UPTdPT5lt7Yp2Fv4s/pub" \h </w:instrText>
      </w:r>
      <w:r>
        <w:fldChar w:fldCharType="separate"/>
      </w:r>
      <w:r>
        <w:rPr>
          <w:rStyle w:val="15"/>
          <w:rFonts w:cs="Arial"/>
          <w:szCs w:val="24"/>
        </w:rPr>
        <w:t>análise das condições de participação</w:t>
      </w:r>
      <w:r>
        <w:rPr>
          <w:rStyle w:val="15"/>
          <w:rFonts w:cs="Arial"/>
          <w:szCs w:val="24"/>
        </w:rPr>
        <w:fldChar w:fldCharType="end"/>
      </w:r>
      <w:r>
        <w:rPr>
          <w:rStyle w:val="29"/>
          <w:rFonts w:cs="Arial"/>
          <w:color w:val="auto"/>
          <w:szCs w:val="24"/>
          <w:u w:val="none"/>
        </w:rPr>
        <w:t>, para saber, em detalhes as regras da análise das condições de participação.</w:t>
      </w:r>
    </w:p>
    <w:p w14:paraId="02EE4052">
      <w:pPr>
        <w:pStyle w:val="117"/>
        <w:numPr>
          <w:ilvl w:val="0"/>
          <w:numId w:val="4"/>
        </w:numPr>
        <w:ind w:left="360" w:right="0" w:rightChars="0" w:hanging="360"/>
      </w:pPr>
      <w:r>
        <w:t>DECLARAÇÕES</w:t>
      </w:r>
    </w:p>
    <w:p w14:paraId="02CA32F3">
      <w:pPr>
        <w:pStyle w:val="41"/>
        <w:tabs>
          <w:tab w:val="left" w:pos="567"/>
        </w:tabs>
        <w:spacing w:before="0" w:after="0"/>
        <w:ind w:left="0" w:right="0" w:rightChars="0"/>
        <w:contextualSpacing w:val="0"/>
        <w:jc w:val="both"/>
        <w:rPr>
          <w:rFonts w:cs="Arial"/>
          <w:szCs w:val="24"/>
        </w:rPr>
      </w:pPr>
    </w:p>
    <w:p w14:paraId="518C7878">
      <w:pPr>
        <w:pStyle w:val="41"/>
        <w:numPr>
          <w:ilvl w:val="1"/>
          <w:numId w:val="4"/>
        </w:numPr>
        <w:tabs>
          <w:tab w:val="left" w:pos="567"/>
        </w:tabs>
        <w:spacing w:before="0" w:after="0"/>
        <w:ind w:left="0" w:right="0" w:rightChars="0" w:firstLine="0"/>
        <w:contextualSpacing w:val="0"/>
        <w:jc w:val="both"/>
        <w:rPr>
          <w:rFonts w:cs="Arial"/>
          <w:szCs w:val="24"/>
        </w:rPr>
      </w:pPr>
      <w:r>
        <w:rPr>
          <w:rFonts w:cs="Arial"/>
          <w:szCs w:val="24"/>
        </w:rPr>
        <w:t xml:space="preserve">Ao participar deste certame, o fornecedor concorda, tacitamente, com as declarações arroladas neste item, </w:t>
      </w:r>
      <w:r>
        <w:rPr>
          <w:rFonts w:cs="Arial"/>
          <w:szCs w:val="24"/>
          <w:u w:val="single"/>
        </w:rPr>
        <w:t>sendo desnecessária a apresentação dessas declarações, por escrito</w:t>
      </w:r>
      <w:r>
        <w:rPr>
          <w:rFonts w:cs="Arial"/>
          <w:szCs w:val="24"/>
        </w:rPr>
        <w:t>.</w:t>
      </w:r>
    </w:p>
    <w:p w14:paraId="63F2B3C9">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Estou ciente, concordo e atendo a todas as condições do Edital e seus anexos.</w:t>
      </w:r>
    </w:p>
    <w:p w14:paraId="7855BD97">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Não há nada que impeça, juridicamente, a minha habilitação neste momento. Se algum fato impeditivo acontecer depois, estarei obrigado a informar ao município de Paranavaí.</w:t>
      </w:r>
    </w:p>
    <w:p w14:paraId="071F72C5">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Não emprego menor de 18 anos em trabalho noturno, perigoso ou insalubre e não emprego menor de 16 anos, salvo menor, a partir de 14 anos, na condição de aprendiz.</w:t>
      </w:r>
    </w:p>
    <w:p w14:paraId="4B137A7A">
      <w:pPr>
        <w:pStyle w:val="41"/>
        <w:numPr>
          <w:ilvl w:val="2"/>
          <w:numId w:val="4"/>
        </w:numPr>
        <w:spacing w:before="0" w:after="0"/>
        <w:ind w:left="0" w:right="0" w:rightChars="0" w:firstLine="0"/>
        <w:contextualSpacing/>
        <w:jc w:val="both"/>
        <w:rPr>
          <w:rFonts w:cs="Arial"/>
          <w:szCs w:val="24"/>
        </w:rPr>
      </w:pPr>
      <w:r>
        <w:rPr>
          <w:rFonts w:cs="Arial"/>
          <w:szCs w:val="24"/>
        </w:rPr>
        <w:t>Dentre os membros do quadro societário, NÃO há cônjuge, companheiro ou parente em linha reta, colateral ou por afinidade, até o terceiro grau, inclusive, da autoridade nomeante ou de servidor da mesma pessoa jurídica, investindo em cargo de direção, chefia ou assessoramento, para o exercício de cargo em comissão ou de confiança, ou ainda, de função gratificada na Administração Pública direta e indireta, compreendido ajuste mediante designação reciprocas. (Súmula vinculante nº 13 - STF).</w:t>
      </w:r>
    </w:p>
    <w:p w14:paraId="4EE88F61">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Para os fins requeridos no §1º, do artigo 9° da Lei Federal n° 14.133/2021, não tem em seu quadro de empregados, servidores públicos da contratante exercendo funções de gerência, administração ou tomada de decisão, bem como sócios, gerentes ou diretores que sejam parentes em linha reta, colateral ou por afinidade, até o terceiro grau, inclusive, de membros ou servidores do Poder Executivo Municipal e Fundação Cultural.</w:t>
      </w:r>
    </w:p>
    <w:p w14:paraId="085696B2">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Ao participar desta licitação consente, de forma livre, informada e inequívoca com o tratamento de seus dados pessoais para fins de publicidade e transparência deste processo licitatório (editais, contrato administrativo/ata de registro de preços e outros documentos relacionados), estando ciente que seus dados pessoais serão tornados públicos para os fins especificados.</w:t>
      </w:r>
    </w:p>
    <w:p w14:paraId="1AE68491">
      <w:pPr>
        <w:pStyle w:val="41"/>
        <w:numPr>
          <w:ilvl w:val="2"/>
          <w:numId w:val="4"/>
        </w:numPr>
        <w:tabs>
          <w:tab w:val="left" w:pos="709"/>
        </w:tabs>
        <w:spacing w:before="0" w:after="0"/>
        <w:ind w:left="0" w:right="0" w:rightChars="0" w:firstLine="0"/>
        <w:contextualSpacing/>
        <w:jc w:val="both"/>
        <w:rPr>
          <w:rFonts w:cs="Arial"/>
          <w:szCs w:val="24"/>
        </w:rPr>
      </w:pPr>
      <w:r>
        <w:rPr>
          <w:rFonts w:cs="Arial"/>
          <w:szCs w:val="24"/>
        </w:rPr>
        <w:t xml:space="preserve"> Não possui sócio, proprietário, diretor, gerente ou integrante do conselho da empresa proponente que seja, de direito ou de fato, servidor público do município de Paranavaí, para os fins requeridos no inciso X do art. 109, da Lei Municipal nº 3.891/2012.</w:t>
      </w:r>
    </w:p>
    <w:p w14:paraId="136F99A5">
      <w:pPr>
        <w:pStyle w:val="41"/>
        <w:numPr>
          <w:ilvl w:val="2"/>
          <w:numId w:val="4"/>
        </w:numPr>
        <w:tabs>
          <w:tab w:val="left" w:pos="709"/>
        </w:tabs>
        <w:spacing w:before="0" w:after="0"/>
        <w:ind w:left="0" w:right="0" w:rightChars="0" w:firstLine="0"/>
        <w:contextualSpacing/>
        <w:jc w:val="both"/>
        <w:rPr>
          <w:rFonts w:cs="Arial"/>
          <w:szCs w:val="24"/>
        </w:rPr>
      </w:pPr>
      <w:r>
        <w:rPr>
          <w:rFonts w:cs="Arial"/>
          <w:szCs w:val="24"/>
        </w:rPr>
        <w:t>A proposta foi elaborada de forma independente e nenhuma empresa potencialmente participante da licitação conhece meu preço.</w:t>
      </w:r>
    </w:p>
    <w:p w14:paraId="1BC5CF8B">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E0F5C50">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Não há, na minha cadeia produtiva, empregados executando trabalho degradante ou forçado.</w:t>
      </w:r>
    </w:p>
    <w:p w14:paraId="6CC6B271">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Minha empresa cumpre as exigências de reserva de cargos prevista em lei e normas específicas para pessoa com deficiência, reabilitado da Previdência Social e aprendiz.</w:t>
      </w:r>
    </w:p>
    <w:p w14:paraId="7957D66B">
      <w:pPr>
        <w:pStyle w:val="41"/>
        <w:numPr>
          <w:ilvl w:val="2"/>
          <w:numId w:val="4"/>
        </w:numPr>
        <w:tabs>
          <w:tab w:val="left" w:pos="709"/>
        </w:tabs>
        <w:spacing w:before="180" w:after="0"/>
        <w:ind w:left="0" w:right="0" w:rightChars="0" w:firstLine="0"/>
        <w:contextualSpacing w:val="0"/>
        <w:jc w:val="both"/>
        <w:rPr>
          <w:rFonts w:cs="Arial"/>
          <w:szCs w:val="24"/>
        </w:rPr>
      </w:pPr>
      <w:r>
        <w:rPr>
          <w:rFonts w:cs="Arial"/>
          <w:szCs w:val="24"/>
        </w:rPr>
        <w:t>Tenho ciência de que a declaração falsa acarretará aplicação de declaração de inidoneidade para licitar ou contratar com toda a Administração Pública do País, além das demais sanções legais cabíveis.</w:t>
      </w:r>
    </w:p>
    <w:p w14:paraId="0A07CE36">
      <w:pPr>
        <w:pStyle w:val="117"/>
        <w:numPr>
          <w:ilvl w:val="0"/>
          <w:numId w:val="4"/>
        </w:numPr>
        <w:ind w:left="360" w:right="0" w:rightChars="0" w:hanging="360"/>
      </w:pPr>
      <w:r>
        <w:t>PROPOSTA</w:t>
      </w:r>
    </w:p>
    <w:p w14:paraId="10D1D6AD">
      <w:pPr>
        <w:pStyle w:val="41"/>
        <w:spacing w:before="0" w:after="0"/>
        <w:ind w:left="0" w:right="0" w:rightChars="0"/>
        <w:contextualSpacing/>
        <w:jc w:val="both"/>
        <w:rPr>
          <w:rFonts w:cs="Arial"/>
          <w:szCs w:val="24"/>
        </w:rPr>
      </w:pPr>
    </w:p>
    <w:p w14:paraId="2A622925">
      <w:pPr>
        <w:pStyle w:val="41"/>
        <w:numPr>
          <w:ilvl w:val="1"/>
          <w:numId w:val="4"/>
        </w:numPr>
        <w:spacing w:before="0" w:after="0"/>
        <w:ind w:left="0" w:right="0" w:rightChars="0" w:firstLine="0"/>
        <w:contextualSpacing/>
        <w:jc w:val="both"/>
        <w:rPr>
          <w:rFonts w:cs="Arial"/>
          <w:szCs w:val="24"/>
        </w:rPr>
      </w:pPr>
      <w:r>
        <w:t xml:space="preserve">O licitante deverá enviar sua proposta mediante o preenchimento, no sistema eletrônico, </w:t>
      </w:r>
      <w:r>
        <w:rPr>
          <w:rFonts w:cs="Arial"/>
          <w:szCs w:val="24"/>
        </w:rPr>
        <w:t xml:space="preserve">conforme o critério de julgamento adotado neste Edital, </w:t>
      </w:r>
      <w:r>
        <w:rPr>
          <w:rFonts w:cs="Arial"/>
          <w:szCs w:val="24"/>
          <w:u w:val="single"/>
        </w:rPr>
        <w:t>até a data e o horário estabelecidos no item 1.2. deste edital.</w:t>
      </w:r>
    </w:p>
    <w:p w14:paraId="0FAEBE6D">
      <w:pPr>
        <w:pStyle w:val="41"/>
        <w:numPr>
          <w:ilvl w:val="1"/>
          <w:numId w:val="4"/>
        </w:numPr>
        <w:spacing w:before="0" w:after="0"/>
        <w:ind w:left="0" w:right="0" w:rightChars="0" w:firstLine="0"/>
        <w:contextualSpacing w:val="0"/>
        <w:jc w:val="both"/>
        <w:rPr>
          <w:rFonts w:cs="Arial"/>
          <w:szCs w:val="24"/>
        </w:rPr>
      </w:pPr>
      <w:r>
        <w:rPr>
          <w:rFonts w:cs="Arial"/>
          <w:szCs w:val="24"/>
        </w:rPr>
        <w:t xml:space="preserve"> O licitante deverá registrar sua proposta no sistema eletrônico mediante o preenchimento dos campos indicados, sem incluir informação que possa identificar a sua empresa.</w:t>
      </w:r>
    </w:p>
    <w:p w14:paraId="1436DC56">
      <w:pPr>
        <w:pStyle w:val="41"/>
        <w:numPr>
          <w:ilvl w:val="1"/>
          <w:numId w:val="4"/>
        </w:numPr>
        <w:spacing w:before="0" w:after="0"/>
        <w:ind w:left="0" w:right="0" w:rightChars="0" w:firstLine="0"/>
        <w:contextualSpacing/>
        <w:jc w:val="both"/>
        <w:rPr>
          <w:rFonts w:hint="default" w:ascii="Arial" w:hAnsi="Arial" w:cs="Arial"/>
        </w:rPr>
      </w:pPr>
      <w:r>
        <w:rPr>
          <w:rFonts w:cs="Arial"/>
          <w:szCs w:val="24"/>
        </w:rPr>
        <w:t>Concluída satisfatoriamente a negociação, o licitante vencedor deverá encaminhar a proposta ajustada ao valor final ofertado, com o valor da negociação, se for o caso, em até 2 (duas) horas, contadas da convocação do pregoeiro.</w:t>
      </w:r>
    </w:p>
    <w:p w14:paraId="5A27DDB5">
      <w:pPr>
        <w:pStyle w:val="41"/>
        <w:numPr>
          <w:ilvl w:val="1"/>
          <w:numId w:val="4"/>
        </w:numPr>
        <w:spacing w:before="0" w:after="0"/>
        <w:ind w:left="0" w:right="0" w:rightChars="0" w:firstLine="0"/>
        <w:contextualSpacing/>
        <w:jc w:val="both"/>
        <w:rPr>
          <w:rFonts w:hint="default" w:ascii="Arial" w:hAnsi="Arial" w:cs="Arial"/>
        </w:rPr>
      </w:pPr>
      <w:r>
        <w:rPr>
          <w:rFonts w:hint="default" w:ascii="Arial" w:hAnsi="Arial" w:cs="Arial"/>
          <w:lang w:val="pt-BR"/>
        </w:rPr>
        <w:t>Juntamente com a proposta, deverá ser apresentado</w:t>
      </w:r>
      <w:r>
        <w:rPr>
          <w:rFonts w:hint="default" w:ascii="Arial" w:hAnsi="Arial" w:cs="Arial"/>
        </w:rPr>
        <w:t xml:space="preserve"> </w:t>
      </w:r>
      <w:r>
        <w:rPr>
          <w:rFonts w:hint="default" w:cs="Arial"/>
          <w:lang w:val="pt-BR"/>
        </w:rPr>
        <w:t>,</w:t>
      </w:r>
      <w:r>
        <w:rPr>
          <w:rFonts w:hint="default" w:ascii="Arial" w:hAnsi="Arial" w:cs="Arial"/>
        </w:rPr>
        <w:t xml:space="preserve"> </w:t>
      </w:r>
      <w:r>
        <w:rPr>
          <w:rFonts w:hint="default" w:cs="Arial"/>
          <w:lang w:val="pt-BR"/>
        </w:rPr>
        <w:t>Projeto da Massa Afáltica</w:t>
      </w:r>
      <w:r>
        <w:rPr>
          <w:rFonts w:hint="default" w:ascii="Arial" w:hAnsi="Arial" w:cs="Arial"/>
        </w:rPr>
        <w:t xml:space="preserve">, </w:t>
      </w:r>
      <w:r>
        <w:rPr>
          <w:rFonts w:hint="default" w:cs="Arial"/>
          <w:lang w:val="pt-BR"/>
        </w:rPr>
        <w:t>nos seguintes termos</w:t>
      </w:r>
      <w:r>
        <w:rPr>
          <w:rFonts w:hint="default" w:ascii="Arial" w:hAnsi="Arial" w:cs="Arial"/>
        </w:rPr>
        <w:t>:</w:t>
      </w:r>
    </w:p>
    <w:p w14:paraId="77F5D79A">
      <w:pPr>
        <w:pStyle w:val="20"/>
        <w:keepNext w:val="0"/>
        <w:keepLines w:val="0"/>
        <w:widowControl/>
        <w:numPr>
          <w:ilvl w:val="0"/>
          <w:numId w:val="11"/>
        </w:numPr>
        <w:suppressLineNumbers w:val="0"/>
        <w:tabs>
          <w:tab w:val="clear" w:pos="420"/>
        </w:tabs>
        <w:spacing w:before="0" w:beforeAutospacing="0" w:after="0" w:afterAutospacing="0" w:line="15" w:lineRule="atLeast"/>
        <w:ind w:left="720" w:leftChars="0" w:right="0" w:rightChars="0" w:firstLine="0" w:firstLineChars="0"/>
        <w:jc w:val="both"/>
        <w:rPr>
          <w:rFonts w:hint="default" w:ascii="Arial" w:hAnsi="Arial" w:cs="Arial"/>
          <w:b/>
          <w:bCs/>
          <w:sz w:val="24"/>
          <w:szCs w:val="24"/>
        </w:rPr>
      </w:pPr>
      <w:r>
        <w:rPr>
          <w:rStyle w:val="59"/>
          <w:rFonts w:hint="default" w:ascii="Arial" w:hAnsi="Arial" w:eastAsia="Segoe UI" w:cs="Arial"/>
          <w:b/>
          <w:bCs/>
          <w:i w:val="0"/>
          <w:iCs w:val="0"/>
          <w:caps w:val="0"/>
          <w:color w:val="000000"/>
          <w:spacing w:val="0"/>
          <w:sz w:val="24"/>
          <w:szCs w:val="24"/>
          <w:shd w:val="clear" w:fill="FFFFFF"/>
          <w:lang w:val="pt-BR"/>
        </w:rPr>
        <w:t>P</w:t>
      </w:r>
      <w:r>
        <w:rPr>
          <w:rStyle w:val="59"/>
          <w:rFonts w:hint="default" w:ascii="Arial" w:hAnsi="Arial" w:eastAsia="Segoe UI" w:cs="Arial"/>
          <w:b/>
          <w:bCs/>
          <w:i w:val="0"/>
          <w:iCs w:val="0"/>
          <w:caps w:val="0"/>
          <w:color w:val="000000"/>
          <w:spacing w:val="0"/>
          <w:sz w:val="24"/>
          <w:szCs w:val="24"/>
          <w:shd w:val="clear" w:fill="FFFFFF"/>
        </w:rPr>
        <w:t xml:space="preserve">ROJETO DA MASSA ASFÁLTICA: Documento técnico detalhado, emitido pelo fabricante, descrevendo a composição </w:t>
      </w:r>
      <w:r>
        <w:rPr>
          <w:rStyle w:val="59"/>
          <w:rFonts w:hint="default" w:ascii="Arial" w:hAnsi="Arial" w:eastAsia="Segoe UI" w:cs="Arial"/>
          <w:b/>
          <w:bCs/>
          <w:i w:val="0"/>
          <w:iCs w:val="0"/>
          <w:caps w:val="0"/>
          <w:color w:val="000000"/>
          <w:spacing w:val="0"/>
          <w:sz w:val="24"/>
          <w:szCs w:val="24"/>
          <w:shd w:val="clear" w:fill="FFFFFF"/>
          <w:lang w:val="pt-BR"/>
        </w:rPr>
        <w:t>química</w:t>
      </w:r>
      <w:r>
        <w:rPr>
          <w:rStyle w:val="59"/>
          <w:rFonts w:hint="default" w:ascii="Arial" w:hAnsi="Arial" w:eastAsia="Segoe UI" w:cs="Arial"/>
          <w:b/>
          <w:bCs/>
          <w:i w:val="0"/>
          <w:iCs w:val="0"/>
          <w:caps w:val="0"/>
          <w:color w:val="000000"/>
          <w:spacing w:val="0"/>
          <w:sz w:val="24"/>
          <w:szCs w:val="24"/>
          <w:shd w:val="clear" w:fill="FFFFFF"/>
        </w:rPr>
        <w:t xml:space="preserve"> e </w:t>
      </w:r>
      <w:r>
        <w:rPr>
          <w:rStyle w:val="59"/>
          <w:rFonts w:hint="default" w:ascii="Arial" w:hAnsi="Arial" w:eastAsia="Segoe UI" w:cs="Arial"/>
          <w:b/>
          <w:bCs/>
          <w:i w:val="0"/>
          <w:iCs w:val="0"/>
          <w:caps w:val="0"/>
          <w:color w:val="000000"/>
          <w:spacing w:val="0"/>
          <w:sz w:val="24"/>
          <w:szCs w:val="24"/>
          <w:shd w:val="clear" w:fill="FFFFFF"/>
          <w:lang w:val="pt-BR"/>
        </w:rPr>
        <w:t>física</w:t>
      </w:r>
      <w:r>
        <w:rPr>
          <w:rStyle w:val="59"/>
          <w:rFonts w:hint="default" w:ascii="Arial" w:hAnsi="Arial" w:eastAsia="Segoe UI" w:cs="Arial"/>
          <w:b/>
          <w:bCs/>
          <w:i w:val="0"/>
          <w:iCs w:val="0"/>
          <w:caps w:val="0"/>
          <w:color w:val="000000"/>
          <w:spacing w:val="0"/>
          <w:sz w:val="24"/>
          <w:szCs w:val="24"/>
          <w:shd w:val="clear" w:fill="FFFFFF"/>
        </w:rPr>
        <w:t xml:space="preserve"> da massa asfáltica ofertada. </w:t>
      </w:r>
    </w:p>
    <w:p w14:paraId="5C74A4F2">
      <w:pPr>
        <w:pStyle w:val="20"/>
        <w:keepNext w:val="0"/>
        <w:keepLines w:val="0"/>
        <w:pageBreakBefore w:val="0"/>
        <w:widowControl/>
        <w:numPr>
          <w:ilvl w:val="2"/>
          <w:numId w:val="4"/>
        </w:numPr>
        <w:suppressLineNumbers w:val="0"/>
        <w:kinsoku/>
        <w:wordWrap/>
        <w:overflowPunct/>
        <w:topLinePunct w:val="0"/>
        <w:autoSpaceDE/>
        <w:autoSpaceDN/>
        <w:bidi w:val="0"/>
        <w:adjustRightInd/>
        <w:snapToGrid/>
        <w:spacing w:before="0" w:beforeAutospacing="0" w:after="0" w:afterAutospacing="0" w:line="312" w:lineRule="auto"/>
        <w:ind w:left="0" w:leftChars="0" w:right="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O Projeto da Massa Asfáltica servirá como parâmetro oficial para o confronto técnico com as amostras físicas. A ausência deste documento ensejará a desclassificação da proposta</w:t>
      </w:r>
    </w:p>
    <w:p w14:paraId="6039F14A">
      <w:pPr>
        <w:pStyle w:val="20"/>
        <w:keepNext w:val="0"/>
        <w:keepLines w:val="0"/>
        <w:pageBreakBefore w:val="0"/>
        <w:widowControl/>
        <w:numPr>
          <w:ilvl w:val="1"/>
          <w:numId w:val="4"/>
        </w:numPr>
        <w:suppressLineNumbers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Será exigida a apresentação de 02 (duas) amostras de 25 kg cada (acondicionadas em sacos), uma vez que a composição técnica do produto é idêntica para ambos os itens, variando apenas a forma de entrega posterior</w:t>
      </w:r>
      <w:r>
        <w:rPr>
          <w:rStyle w:val="59"/>
          <w:rFonts w:hint="default" w:ascii="Arial" w:hAnsi="Arial" w:eastAsia="Segoe UI" w:cs="Arial"/>
          <w:i w:val="0"/>
          <w:iCs w:val="0"/>
          <w:caps w:val="0"/>
          <w:color w:val="000000"/>
          <w:spacing w:val="0"/>
          <w:sz w:val="24"/>
          <w:szCs w:val="24"/>
          <w:shd w:val="clear" w:fill="FFFFFF"/>
          <w:lang w:val="pt-BR"/>
        </w:rPr>
        <w:t>.</w:t>
      </w:r>
    </w:p>
    <w:p w14:paraId="470CF5B3">
      <w:pPr>
        <w:pStyle w:val="20"/>
        <w:keepNext w:val="0"/>
        <w:keepLines w:val="0"/>
        <w:pageBreakBefore w:val="0"/>
        <w:widowControl/>
        <w:numPr>
          <w:ilvl w:val="1"/>
          <w:numId w:val="4"/>
        </w:numPr>
        <w:suppressLineNumbers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 xml:space="preserve">As amostras deverão ser entregues em embalagens originais e lacradas, sendo destinadas a finalidades específicas: </w:t>
      </w:r>
    </w:p>
    <w:p w14:paraId="22A446C3">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default" w:ascii="Arial" w:hAnsi="Arial" w:cs="Arial"/>
          <w:sz w:val="24"/>
          <w:szCs w:val="24"/>
        </w:rPr>
      </w:pPr>
      <w:r>
        <w:rPr>
          <w:rStyle w:val="59"/>
          <w:rFonts w:hint="default" w:ascii="Arial" w:hAnsi="Arial" w:eastAsia="Segoe UI" w:cs="Arial"/>
          <w:b/>
          <w:bCs/>
          <w:i w:val="0"/>
          <w:iCs w:val="0"/>
          <w:caps w:val="0"/>
          <w:color w:val="000000"/>
          <w:spacing w:val="0"/>
          <w:sz w:val="24"/>
          <w:szCs w:val="24"/>
          <w:shd w:val="clear" w:fill="FFFFFF"/>
          <w:lang w:val="pt-BR"/>
        </w:rPr>
        <w:t>4.6.1.</w:t>
      </w:r>
      <w:r>
        <w:rPr>
          <w:rStyle w:val="59"/>
          <w:rFonts w:hint="default" w:ascii="Arial" w:hAnsi="Arial" w:eastAsia="Segoe UI" w:cs="Arial"/>
          <w:b/>
          <w:bCs/>
          <w:i w:val="0"/>
          <w:iCs w:val="0"/>
          <w:caps w:val="0"/>
          <w:color w:val="000000"/>
          <w:spacing w:val="0"/>
          <w:sz w:val="24"/>
          <w:szCs w:val="24"/>
          <w:shd w:val="clear" w:fill="FFFFFF"/>
        </w:rPr>
        <w:t xml:space="preserve"> Amostra 01 – Teste de Campo: </w:t>
      </w:r>
    </w:p>
    <w:p w14:paraId="1FDB30E8">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 xml:space="preserve">• </w:t>
      </w:r>
      <w:r>
        <w:rPr>
          <w:rStyle w:val="59"/>
          <w:rFonts w:hint="default" w:ascii="Arial" w:hAnsi="Arial" w:eastAsia="Segoe UI" w:cs="Arial"/>
          <w:i w:val="0"/>
          <w:iCs w:val="0"/>
          <w:caps w:val="0"/>
          <w:color w:val="000000"/>
          <w:spacing w:val="0"/>
          <w:sz w:val="24"/>
          <w:szCs w:val="24"/>
          <w:u w:val="single"/>
          <w:shd w:val="clear" w:fill="FFFFFF"/>
        </w:rPr>
        <w:t>Critério de Homogeneidade</w:t>
      </w:r>
      <w:r>
        <w:rPr>
          <w:rStyle w:val="59"/>
          <w:rFonts w:hint="default" w:ascii="Arial" w:hAnsi="Arial" w:eastAsia="Segoe UI" w:cs="Arial"/>
          <w:i w:val="0"/>
          <w:iCs w:val="0"/>
          <w:caps w:val="0"/>
          <w:color w:val="000000"/>
          <w:spacing w:val="0"/>
          <w:sz w:val="24"/>
          <w:szCs w:val="24"/>
          <w:shd w:val="clear" w:fill="FFFFFF"/>
        </w:rPr>
        <w:t xml:space="preserve">: O produto só será aprovado se for totalmente homogêneo, sem apresentar grandes torrões ou aglutinações endurecidas no interior da embalagem, comprovando perfeita condição de uso imediato, facilitando e viabilizando a sua aplicação com rapidez e eficácia. </w:t>
      </w:r>
    </w:p>
    <w:p w14:paraId="24C658D6">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 xml:space="preserve">• </w:t>
      </w:r>
      <w:r>
        <w:rPr>
          <w:rStyle w:val="59"/>
          <w:rFonts w:hint="default" w:ascii="Arial" w:hAnsi="Arial" w:eastAsia="Segoe UI" w:cs="Arial"/>
          <w:i w:val="0"/>
          <w:iCs w:val="0"/>
          <w:caps w:val="0"/>
          <w:color w:val="000000"/>
          <w:spacing w:val="0"/>
          <w:sz w:val="24"/>
          <w:szCs w:val="24"/>
          <w:u w:val="single"/>
          <w:shd w:val="clear" w:fill="FFFFFF"/>
        </w:rPr>
        <w:t>Teste de Adesividade e Coesão</w:t>
      </w:r>
      <w:r>
        <w:rPr>
          <w:rStyle w:val="59"/>
          <w:rFonts w:hint="default" w:ascii="Arial" w:hAnsi="Arial" w:eastAsia="Segoe UI" w:cs="Arial"/>
          <w:i w:val="0"/>
          <w:iCs w:val="0"/>
          <w:caps w:val="0"/>
          <w:color w:val="000000"/>
          <w:spacing w:val="0"/>
          <w:sz w:val="24"/>
          <w:szCs w:val="24"/>
          <w:shd w:val="clear" w:fill="FFFFFF"/>
        </w:rPr>
        <w:t>: Aplicação prática em via pública pela equipe de Tapa-Buracos, com registro audiovisual (vídeo), avaliando a aderência ao</w:t>
      </w:r>
      <w:r>
        <w:rPr>
          <w:rStyle w:val="59"/>
          <w:rFonts w:hint="default" w:ascii="Arial" w:hAnsi="Arial" w:eastAsia="Segoe UI" w:cs="Arial"/>
          <w:i w:val="0"/>
          <w:iCs w:val="0"/>
          <w:caps w:val="0"/>
          <w:color w:val="000000"/>
          <w:spacing w:val="0"/>
          <w:sz w:val="24"/>
          <w:szCs w:val="24"/>
          <w:shd w:val="clear" w:fill="FFFFFF"/>
          <w:lang w:val="pt-BR"/>
        </w:rPr>
        <w:t xml:space="preserve"> </w:t>
      </w:r>
      <w:r>
        <w:rPr>
          <w:rStyle w:val="59"/>
          <w:rFonts w:hint="default" w:ascii="Arial" w:hAnsi="Arial" w:eastAsia="Segoe UI" w:cs="Arial"/>
          <w:i w:val="0"/>
          <w:iCs w:val="0"/>
          <w:caps w:val="0"/>
          <w:color w:val="000000"/>
          <w:spacing w:val="0"/>
          <w:sz w:val="24"/>
          <w:szCs w:val="24"/>
          <w:shd w:val="clear" w:fill="FFFFFF"/>
        </w:rPr>
        <w:t xml:space="preserve">pavimento e a estabilidade imediata sob tráfego de veículos (resistência ao desprendimento e deformação). </w:t>
      </w:r>
    </w:p>
    <w:p w14:paraId="20755570">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default" w:ascii="Arial" w:hAnsi="Arial" w:cs="Arial"/>
          <w:sz w:val="24"/>
          <w:szCs w:val="24"/>
        </w:rPr>
      </w:pPr>
      <w:r>
        <w:rPr>
          <w:rStyle w:val="59"/>
          <w:rFonts w:hint="default" w:ascii="Arial" w:hAnsi="Arial" w:eastAsia="Segoe UI" w:cs="Arial"/>
          <w:b/>
          <w:bCs/>
          <w:i w:val="0"/>
          <w:iCs w:val="0"/>
          <w:caps w:val="0"/>
          <w:color w:val="000000"/>
          <w:spacing w:val="0"/>
          <w:sz w:val="24"/>
          <w:szCs w:val="24"/>
          <w:shd w:val="clear" w:fill="FFFFFF"/>
          <w:lang w:val="pt-BR"/>
        </w:rPr>
        <w:t>4.6.2.</w:t>
      </w:r>
      <w:r>
        <w:rPr>
          <w:rStyle w:val="59"/>
          <w:rFonts w:hint="default" w:ascii="Arial" w:hAnsi="Arial" w:eastAsia="Segoe UI" w:cs="Arial"/>
          <w:b/>
          <w:bCs/>
          <w:i w:val="0"/>
          <w:iCs w:val="0"/>
          <w:caps w:val="0"/>
          <w:color w:val="000000"/>
          <w:spacing w:val="0"/>
          <w:sz w:val="24"/>
          <w:szCs w:val="24"/>
          <w:shd w:val="clear" w:fill="FFFFFF"/>
        </w:rPr>
        <w:t xml:space="preserve"> Amostra 02 – Ensaio de Laboratório Interno:</w:t>
      </w:r>
      <w:r>
        <w:rPr>
          <w:rStyle w:val="59"/>
          <w:rFonts w:hint="default" w:ascii="Arial" w:hAnsi="Arial" w:eastAsia="Segoe UI" w:cs="Arial"/>
          <w:i w:val="0"/>
          <w:iCs w:val="0"/>
          <w:caps w:val="0"/>
          <w:color w:val="000000"/>
          <w:spacing w:val="0"/>
          <w:sz w:val="24"/>
          <w:szCs w:val="24"/>
          <w:shd w:val="clear" w:fill="FFFFFF"/>
        </w:rPr>
        <w:t xml:space="preserve"> </w:t>
      </w:r>
    </w:p>
    <w:p w14:paraId="67BBB2C3">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 xml:space="preserve">• A segunda amostra será submetida a ensaios técnicos realizados no Laboratório da SEINFRA. Destinada ao confronto direto com o PROJETO DA MASSA ASFÁLTICA apresentado pela licitante em sua proposta. O objetivo é validar se a composição física e quimica do material entregue condizem estritamente com as especificações técnicas declaradas. Qualquer divergência entre o projeto teórico e o resultado laboratorial da amostra resultará na emissão de relatório técnico de desclassificação. </w:t>
      </w:r>
    </w:p>
    <w:p w14:paraId="11869623">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 Emissão de Relatório de Análise: Após a realização dos ensaios de confronto entre a amostra física e o Projeto da Massa apresentado, o Sr. José Ricardo emitirá um Relatório Técnico de Análise. Este documento atestará a conformidade ou desconformidade do produto, servindo de base legal para a aceitação ou desclassificação da licitante.</w:t>
      </w:r>
    </w:p>
    <w:p w14:paraId="6420D493">
      <w:pPr>
        <w:pStyle w:val="20"/>
        <w:keepNext w:val="0"/>
        <w:keepLines w:val="0"/>
        <w:pageBreakBefore w:val="0"/>
        <w:widowControl/>
        <w:numPr>
          <w:ilvl w:val="1"/>
          <w:numId w:val="4"/>
        </w:numPr>
        <w:suppressLineNumbers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default" w:ascii="Arial" w:hAnsi="Arial" w:cs="Arial"/>
          <w:sz w:val="24"/>
          <w:szCs w:val="24"/>
          <w:rtl w:val="0"/>
        </w:rPr>
      </w:pPr>
      <w:r>
        <w:rPr>
          <w:rFonts w:hint="default" w:ascii="Arial" w:hAnsi="Arial" w:cs="Arial"/>
        </w:rPr>
        <w:t xml:space="preserve">A amostra deverá ser entregue, na Secretaria de Infraestrutura – Avenida Heitor de Alencar Furtado, nº 7170, Jardim Santos Dumont, em horário de funcionamento do órgão, </w:t>
      </w:r>
      <w:r>
        <w:rPr>
          <w:rFonts w:hint="default" w:ascii="Arial" w:hAnsi="Arial" w:cs="Arial"/>
          <w:b/>
          <w:bCs/>
        </w:rPr>
        <w:t>em até três dias úteis</w:t>
      </w:r>
      <w:r>
        <w:rPr>
          <w:rFonts w:hint="default" w:ascii="Arial" w:hAnsi="Arial" w:cs="Arial"/>
        </w:rPr>
        <w:t>, após a abertura do certame.</w:t>
      </w:r>
    </w:p>
    <w:p w14:paraId="58E15062">
      <w:pPr>
        <w:pStyle w:val="20"/>
        <w:keepNext w:val="0"/>
        <w:keepLines w:val="0"/>
        <w:pageBreakBefore w:val="0"/>
        <w:widowControl/>
        <w:numPr>
          <w:ilvl w:val="1"/>
          <w:numId w:val="4"/>
        </w:numPr>
        <w:suppressLineNumbers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ascii="Arial" w:hAnsi="Arial" w:cs="Arial"/>
          <w:sz w:val="24"/>
          <w:szCs w:val="24"/>
        </w:rPr>
      </w:pPr>
      <w:r>
        <w:rPr>
          <w:rFonts w:hint="default" w:ascii="Arial" w:hAnsi="Arial" w:eastAsia="SimSun" w:cs="Arial"/>
          <w:sz w:val="24"/>
          <w:szCs w:val="24"/>
        </w:rPr>
        <w:t xml:space="preserve">A análise das amostras, </w:t>
      </w:r>
      <w:bookmarkStart w:id="13" w:name="_GoBack"/>
      <w:bookmarkEnd w:id="13"/>
      <w:r>
        <w:rPr>
          <w:rFonts w:hint="default" w:ascii="Arial" w:hAnsi="Arial" w:eastAsia="SimSun" w:cs="Arial"/>
          <w:sz w:val="24"/>
          <w:szCs w:val="24"/>
        </w:rPr>
        <w:t xml:space="preserve"> será realizada pela Secretaria Municipal de Infraestrutura, que procederá à análise técnica dos documentos apresentados e das amostras no prazo de 10 (dez) dias úteis, sendo a referida análise de responsabilidade do servidor José Ricardo França Giraldes.</w:t>
      </w:r>
      <w:bookmarkStart w:id="5" w:name="_heading=h.4f1mdlm" w:colFirst="0" w:colLast="0"/>
      <w:bookmarkEnd w:id="5"/>
    </w:p>
    <w:p w14:paraId="7E7E02B0">
      <w:pPr>
        <w:pStyle w:val="20"/>
        <w:keepNext w:val="0"/>
        <w:keepLines w:val="0"/>
        <w:pageBreakBefore w:val="0"/>
        <w:widowControl/>
        <w:numPr>
          <w:ilvl w:val="1"/>
          <w:numId w:val="4"/>
        </w:numPr>
        <w:suppressLineNumbers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A SEINFRA reitera que a agilidade e a eficácia da manutenção viária de Paranavaí dependem da trabalhabilidade e da qualidade química do insumo. A reprovação em qualquer uma das etapas (Campo ou Laboratório Interno) resultará na desclassificação da licitante por descumprimento do padrão de desempenho exigido.</w:t>
      </w:r>
    </w:p>
    <w:p w14:paraId="629CF18F">
      <w:pPr>
        <w:pStyle w:val="41"/>
        <w:numPr>
          <w:ilvl w:val="1"/>
          <w:numId w:val="4"/>
        </w:numPr>
        <w:spacing w:before="0" w:after="0" w:line="360" w:lineRule="auto"/>
        <w:ind w:left="0" w:right="0" w:rightChars="0" w:firstLine="0"/>
        <w:contextualSpacing/>
        <w:jc w:val="both"/>
        <w:rPr>
          <w:rFonts w:cs="Arial"/>
          <w:szCs w:val="24"/>
        </w:rPr>
      </w:pPr>
      <w:r>
        <w:rPr>
          <w:rFonts w:cs="Arial"/>
          <w:szCs w:val="24"/>
        </w:rPr>
        <w:t xml:space="preserve">O prazo para apresentação da proposta ajustada poderá ser prorrogado mediante solicitação justificada, ou a critério do </w:t>
      </w:r>
      <w:r>
        <w:rPr>
          <w:rFonts w:cs="Arial"/>
          <w:szCs w:val="24"/>
          <w:lang w:val="pt-BR"/>
        </w:rPr>
        <w:t>pregoeiro</w:t>
      </w:r>
      <w:r>
        <w:rPr>
          <w:rFonts w:hint="default" w:cs="Arial"/>
          <w:szCs w:val="24"/>
          <w:lang w:val="pt-BR"/>
        </w:rPr>
        <w:t>.</w:t>
      </w:r>
    </w:p>
    <w:p w14:paraId="1BAC64BF">
      <w:pPr>
        <w:pStyle w:val="41"/>
        <w:numPr>
          <w:ilvl w:val="1"/>
          <w:numId w:val="4"/>
        </w:numPr>
        <w:spacing w:before="0" w:after="0"/>
        <w:ind w:left="0" w:right="0" w:rightChars="0" w:firstLine="0"/>
        <w:contextualSpacing/>
        <w:jc w:val="both"/>
        <w:rPr>
          <w:rFonts w:cs="Arial"/>
          <w:szCs w:val="24"/>
        </w:rPr>
      </w:pPr>
      <w:r>
        <w:rPr>
          <w:rFonts w:cs="Arial"/>
          <w:szCs w:val="24"/>
        </w:rPr>
        <w:t>A proposta ajustada deverá ser preenchida conforme modelo do Anexo II deste Edital.</w:t>
      </w:r>
    </w:p>
    <w:p w14:paraId="3B42CBF5">
      <w:pPr>
        <w:pStyle w:val="41"/>
        <w:ind w:left="720" w:right="0" w:rightChars="0"/>
        <w:rPr>
          <w:rFonts w:cs="Arial"/>
          <w:szCs w:val="24"/>
        </w:rPr>
      </w:pPr>
    </w:p>
    <w:p w14:paraId="48A1E32B">
      <w:pPr>
        <w:pStyle w:val="117"/>
        <w:numPr>
          <w:ilvl w:val="0"/>
          <w:numId w:val="4"/>
        </w:numPr>
        <w:spacing w:before="0" w:after="0"/>
        <w:ind w:left="360" w:right="0" w:rightChars="0" w:hanging="360"/>
      </w:pPr>
      <w:r>
        <w:t>DOCUMENTOS DE HABILITAÇÃO</w:t>
      </w:r>
    </w:p>
    <w:p w14:paraId="6D1B6E2A">
      <w:pPr>
        <w:pStyle w:val="41"/>
        <w:tabs>
          <w:tab w:val="left" w:pos="567"/>
        </w:tabs>
        <w:spacing w:before="0" w:after="0"/>
        <w:ind w:left="0" w:right="0" w:rightChars="0"/>
        <w:contextualSpacing w:val="0"/>
        <w:jc w:val="both"/>
        <w:rPr>
          <w:rFonts w:cs="Arial"/>
          <w:szCs w:val="24"/>
        </w:rPr>
      </w:pPr>
    </w:p>
    <w:p w14:paraId="15A548D8">
      <w:pPr>
        <w:pStyle w:val="41"/>
        <w:numPr>
          <w:ilvl w:val="1"/>
          <w:numId w:val="4"/>
        </w:numPr>
        <w:tabs>
          <w:tab w:val="left" w:pos="567"/>
        </w:tabs>
        <w:spacing w:before="0" w:after="0"/>
        <w:ind w:left="0" w:right="0" w:rightChars="0" w:firstLine="0"/>
        <w:contextualSpacing w:val="0"/>
        <w:jc w:val="both"/>
        <w:rPr>
          <w:rFonts w:cs="Arial"/>
          <w:szCs w:val="24"/>
        </w:rPr>
      </w:pPr>
      <w:r>
        <w:t>A habilitação será verificada por meio do SICAF, nos documentos por ele abrangidos</w:t>
      </w:r>
      <w:r>
        <w:rPr>
          <w:rFonts w:cs="Arial"/>
          <w:bCs/>
        </w:rPr>
        <w:t>.</w:t>
      </w:r>
    </w:p>
    <w:p w14:paraId="0986ED88">
      <w:pPr>
        <w:pStyle w:val="41"/>
        <w:numPr>
          <w:ilvl w:val="1"/>
          <w:numId w:val="4"/>
        </w:numPr>
        <w:tabs>
          <w:tab w:val="left" w:pos="567"/>
        </w:tabs>
        <w:spacing w:before="0" w:after="0"/>
        <w:ind w:left="0" w:right="0" w:rightChars="0" w:firstLine="0"/>
        <w:contextualSpacing w:val="0"/>
        <w:jc w:val="both"/>
        <w:rPr>
          <w:rFonts w:cs="Arial"/>
          <w:szCs w:val="24"/>
        </w:rPr>
      </w:pPr>
      <w:r>
        <w:t xml:space="preserve">Os documentos exigidos para habilitação que não estejam contemplados no SICAF serão enviados por meio do sistema, em formato digital, no </w:t>
      </w:r>
      <w:r>
        <w:rPr>
          <w:u w:val="single"/>
        </w:rPr>
        <w:t>prazo de 02 (duas) horas,</w:t>
      </w:r>
      <w:r>
        <w:t xml:space="preserve"> contado da solicitação d</w:t>
      </w:r>
      <w:r>
        <w:rPr>
          <w:rFonts w:hint="default"/>
          <w:lang w:val="pt-BR"/>
        </w:rPr>
        <w:t>o</w:t>
      </w:r>
      <w:r>
        <w:t xml:space="preserve"> Pregoeir</w:t>
      </w:r>
      <w:r>
        <w:rPr>
          <w:rFonts w:hint="default"/>
          <w:lang w:val="pt-BR"/>
        </w:rPr>
        <w:t>o</w:t>
      </w:r>
      <w:r>
        <w:t>, podendo ser prorrogado por igual período.</w:t>
      </w:r>
    </w:p>
    <w:p w14:paraId="377DF52F">
      <w:pPr>
        <w:pStyle w:val="41"/>
        <w:numPr>
          <w:ilvl w:val="1"/>
          <w:numId w:val="4"/>
        </w:numPr>
        <w:tabs>
          <w:tab w:val="left" w:pos="567"/>
        </w:tabs>
        <w:spacing w:before="0" w:after="0"/>
        <w:ind w:left="0" w:right="0" w:rightChars="0" w:firstLine="0"/>
        <w:contextualSpacing w:val="0"/>
        <w:jc w:val="both"/>
        <w:rPr>
          <w:rFonts w:cs="Arial"/>
          <w:szCs w:val="24"/>
        </w:rPr>
      </w:pPr>
      <w:r>
        <w:rPr>
          <w:rFonts w:cs="Arial"/>
          <w:color w:val="000000"/>
          <w:szCs w:val="24"/>
        </w:rPr>
        <w:t xml:space="preserve">HABILITAÇÃO </w:t>
      </w:r>
      <w:r>
        <w:rPr>
          <w:rFonts w:cs="Arial"/>
          <w:szCs w:val="24"/>
        </w:rPr>
        <w:t xml:space="preserve">JURÍDICA, FISCAL, SOCIAL E TRABALHISTA: será </w:t>
      </w:r>
      <w:r>
        <w:rPr>
          <w:rFonts w:cs="Arial"/>
          <w:color w:val="000000"/>
          <w:szCs w:val="24"/>
        </w:rPr>
        <w:t>verificada por meio do SICAF</w:t>
      </w:r>
      <w:r>
        <w:rPr>
          <w:rFonts w:cs="Arial"/>
          <w:szCs w:val="24"/>
        </w:rPr>
        <w:t xml:space="preserve"> ou nos respectivos portais, referentes a:</w:t>
      </w:r>
    </w:p>
    <w:p w14:paraId="05353047">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contrato social ou instrumento equivalente;</w:t>
      </w:r>
    </w:p>
    <w:p w14:paraId="3391B17A">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regularidade perante a fazenda federal e a seguridade social;</w:t>
      </w:r>
    </w:p>
    <w:p w14:paraId="006975E3">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regularidade perante a fazenda estadual ou distrital da sede do licitante;</w:t>
      </w:r>
    </w:p>
    <w:p w14:paraId="0A544242">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regularidade perante a fazenda municipal da sede do licitante;</w:t>
      </w:r>
    </w:p>
    <w:p w14:paraId="35BD7969">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regularidade junto ao Fundo de Garantia do Tempo de Serviço – FGTS; e</w:t>
      </w:r>
    </w:p>
    <w:p w14:paraId="7FC0694F">
      <w:pPr>
        <w:pStyle w:val="41"/>
        <w:numPr>
          <w:ilvl w:val="2"/>
          <w:numId w:val="4"/>
        </w:numPr>
        <w:tabs>
          <w:tab w:val="left" w:pos="709"/>
        </w:tabs>
        <w:spacing w:before="0" w:after="0"/>
        <w:ind w:left="0" w:right="0" w:rightChars="0" w:firstLine="0"/>
        <w:contextualSpacing w:val="0"/>
        <w:jc w:val="both"/>
        <w:rPr>
          <w:rFonts w:cs="Arial"/>
          <w:szCs w:val="24"/>
        </w:rPr>
      </w:pPr>
      <w:r>
        <w:rPr>
          <w:rFonts w:cs="Arial"/>
          <w:szCs w:val="24"/>
        </w:rPr>
        <w:t>regularidade trabalhista (</w:t>
      </w:r>
      <w:r>
        <w:fldChar w:fldCharType="begin"/>
      </w:r>
      <w:r>
        <w:instrText xml:space="preserve"> HYPERLINK "http://www.tst.jus.br/certidao" \h </w:instrText>
      </w:r>
      <w:r>
        <w:fldChar w:fldCharType="separate"/>
      </w:r>
      <w:r>
        <w:rPr>
          <w:rStyle w:val="15"/>
          <w:rFonts w:cs="Arial"/>
          <w:szCs w:val="24"/>
        </w:rPr>
        <w:t>http://www.tst.jus.br/certidao</w:t>
      </w:r>
      <w:r>
        <w:rPr>
          <w:rStyle w:val="15"/>
          <w:rFonts w:cs="Arial"/>
          <w:szCs w:val="24"/>
        </w:rPr>
        <w:fldChar w:fldCharType="end"/>
      </w:r>
      <w:r>
        <w:rPr>
          <w:rFonts w:cs="Arial"/>
          <w:szCs w:val="24"/>
        </w:rPr>
        <w:t>).</w:t>
      </w:r>
    </w:p>
    <w:p w14:paraId="17FED0A0">
      <w:pPr>
        <w:pStyle w:val="41"/>
        <w:numPr>
          <w:ilvl w:val="2"/>
          <w:numId w:val="4"/>
        </w:numPr>
        <w:tabs>
          <w:tab w:val="left" w:pos="709"/>
        </w:tabs>
        <w:spacing w:before="0" w:after="0"/>
        <w:ind w:left="0" w:right="0" w:rightChars="0" w:firstLine="0"/>
        <w:contextualSpacing w:val="0"/>
        <w:jc w:val="both"/>
        <w:rPr>
          <w:rFonts w:ascii="Arial" w:hAnsi="Arial" w:eastAsia="SimSun" w:cs="Arial"/>
          <w:i w:val="0"/>
          <w:iCs w:val="0"/>
          <w:caps w:val="0"/>
          <w:color w:val="000000"/>
          <w:spacing w:val="0"/>
          <w:sz w:val="19"/>
          <w:szCs w:val="19"/>
        </w:rPr>
      </w:pPr>
      <w:r>
        <w:rPr>
          <w:rFonts w:hint="default" w:eastAsia="SimSun" w:cs="Arial"/>
          <w:i w:val="0"/>
          <w:iCs w:val="0"/>
          <w:caps w:val="0"/>
          <w:color w:val="000000"/>
          <w:spacing w:val="0"/>
          <w:sz w:val="24"/>
          <w:szCs w:val="24"/>
          <w:lang w:val="pt-BR"/>
        </w:rPr>
        <w:t>As empresas em</w:t>
      </w:r>
      <w:r>
        <w:rPr>
          <w:rFonts w:hint="default" w:eastAsia="SimSun" w:cs="Arial"/>
          <w:i w:val="0"/>
          <w:iCs w:val="0"/>
          <w:caps w:val="0"/>
          <w:color w:val="000000"/>
          <w:spacing w:val="0"/>
          <w:sz w:val="19"/>
          <w:szCs w:val="19"/>
          <w:lang w:val="pt-BR"/>
        </w:rPr>
        <w:t xml:space="preserve"> </w:t>
      </w:r>
      <w:r>
        <w:rPr>
          <w:rFonts w:hint="default" w:ascii="Arial" w:hAnsi="Arial" w:eastAsia="Bookman Old Style" w:cs="Arial"/>
          <w:i w:val="0"/>
          <w:iCs w:val="0"/>
          <w:caps w:val="0"/>
          <w:color w:val="000000"/>
          <w:spacing w:val="0"/>
          <w:sz w:val="24"/>
          <w:szCs w:val="24"/>
          <w:shd w:val="clear" w:fill="FFFFFF"/>
        </w:rPr>
        <w:t>consórcio deverá apresentar junto com documentos de habilitação um compromisso de constituição de consórcio, subscrito pelos consorciados, nos termos previstos no art. 15 da Lei nº 14.133/2021.</w:t>
      </w:r>
    </w:p>
    <w:p w14:paraId="7A5B5362">
      <w:pPr>
        <w:pStyle w:val="41"/>
        <w:numPr>
          <w:ilvl w:val="0"/>
          <w:numId w:val="0"/>
        </w:numPr>
        <w:tabs>
          <w:tab w:val="left" w:pos="709"/>
          <w:tab w:val="left" w:pos="8640"/>
        </w:tabs>
        <w:spacing w:before="0" w:after="0"/>
        <w:ind w:leftChars="0" w:right="0" w:rightChars="0"/>
        <w:contextualSpacing w:val="0"/>
        <w:jc w:val="both"/>
        <w:rPr>
          <w:rFonts w:hint="default" w:eastAsia="SimSun" w:cs="Arial"/>
          <w:i w:val="0"/>
          <w:iCs w:val="0"/>
          <w:caps w:val="0"/>
          <w:color w:val="000000"/>
          <w:spacing w:val="0"/>
          <w:sz w:val="24"/>
          <w:szCs w:val="24"/>
          <w:lang w:val="pt-BR"/>
        </w:rPr>
      </w:pPr>
      <w:r>
        <w:rPr>
          <w:rFonts w:hint="default" w:eastAsia="SimSun" w:cs="Arial"/>
          <w:i w:val="0"/>
          <w:iCs w:val="0"/>
          <w:caps w:val="0"/>
          <w:color w:val="000000"/>
          <w:spacing w:val="0"/>
          <w:sz w:val="24"/>
          <w:szCs w:val="24"/>
          <w:lang w:val="pt-BR"/>
        </w:rPr>
        <w:t>5.3.7.1. Realizar a i</w:t>
      </w:r>
      <w:r>
        <w:rPr>
          <w:rFonts w:hint="default" w:ascii="Arial" w:hAnsi="Arial" w:eastAsia="SimSun" w:cs="Arial"/>
          <w:i w:val="0"/>
          <w:iCs w:val="0"/>
          <w:caps w:val="0"/>
          <w:color w:val="000000"/>
          <w:spacing w:val="0"/>
          <w:sz w:val="24"/>
          <w:szCs w:val="24"/>
        </w:rPr>
        <w:t>ndicação da empresa líder do consórcio, que será responsável por sua representação perante a Administração</w:t>
      </w:r>
      <w:r>
        <w:rPr>
          <w:rFonts w:hint="default" w:eastAsia="SimSun" w:cs="Arial"/>
          <w:i w:val="0"/>
          <w:iCs w:val="0"/>
          <w:caps w:val="0"/>
          <w:color w:val="000000"/>
          <w:spacing w:val="0"/>
          <w:sz w:val="24"/>
          <w:szCs w:val="24"/>
          <w:lang w:val="pt-BR"/>
        </w:rPr>
        <w:t>.</w:t>
      </w:r>
    </w:p>
    <w:p w14:paraId="4C8258F2">
      <w:pPr>
        <w:pStyle w:val="41"/>
        <w:numPr>
          <w:ilvl w:val="0"/>
          <w:numId w:val="0"/>
        </w:numPr>
        <w:tabs>
          <w:tab w:val="left" w:pos="709"/>
          <w:tab w:val="left" w:pos="8640"/>
        </w:tabs>
        <w:spacing w:before="0" w:after="0"/>
        <w:ind w:leftChars="0" w:right="0" w:rightChars="0"/>
        <w:contextualSpacing w:val="0"/>
        <w:jc w:val="both"/>
        <w:rPr>
          <w:rFonts w:hint="default" w:eastAsia="SimSun" w:cs="Arial"/>
          <w:i w:val="0"/>
          <w:iCs w:val="0"/>
          <w:caps w:val="0"/>
          <w:color w:val="000000"/>
          <w:spacing w:val="0"/>
          <w:sz w:val="24"/>
          <w:szCs w:val="24"/>
          <w:lang w:val="pt-BR"/>
        </w:rPr>
      </w:pPr>
      <w:r>
        <w:rPr>
          <w:rFonts w:hint="default" w:eastAsia="SimSun" w:cs="Arial"/>
          <w:i w:val="0"/>
          <w:iCs w:val="0"/>
          <w:caps w:val="0"/>
          <w:color w:val="000000"/>
          <w:spacing w:val="0"/>
          <w:sz w:val="24"/>
          <w:szCs w:val="24"/>
          <w:lang w:val="pt-BR"/>
        </w:rPr>
        <w:t>5.3.7.2.</w:t>
      </w:r>
      <w:r>
        <w:rPr>
          <w:rFonts w:ascii="Arial" w:hAnsi="Arial" w:eastAsia="SimSun" w:cs="Arial"/>
          <w:i w:val="0"/>
          <w:iCs w:val="0"/>
          <w:caps w:val="0"/>
          <w:color w:val="000000"/>
          <w:spacing w:val="0"/>
          <w:sz w:val="24"/>
          <w:szCs w:val="24"/>
        </w:rPr>
        <w:t xml:space="preserve">O licitante vencedor é obrigado a promover, antes da celebração do contrato, a constituição e o registro do consórcio, nos termos do compromisso referido no </w:t>
      </w:r>
      <w:r>
        <w:rPr>
          <w:rFonts w:hint="default" w:eastAsia="SimSun" w:cs="Arial"/>
          <w:i w:val="0"/>
          <w:iCs w:val="0"/>
          <w:caps w:val="0"/>
          <w:color w:val="000000"/>
          <w:spacing w:val="0"/>
          <w:sz w:val="24"/>
          <w:szCs w:val="24"/>
          <w:lang w:val="pt-BR"/>
        </w:rPr>
        <w:t>item 5.3.7.1.</w:t>
      </w:r>
    </w:p>
    <w:p w14:paraId="17515D9C">
      <w:pPr>
        <w:pStyle w:val="41"/>
        <w:numPr>
          <w:ilvl w:val="0"/>
          <w:numId w:val="0"/>
        </w:numPr>
        <w:tabs>
          <w:tab w:val="left" w:pos="709"/>
          <w:tab w:val="left" w:pos="8640"/>
        </w:tabs>
        <w:spacing w:before="0" w:after="0"/>
        <w:ind w:leftChars="0" w:right="0" w:rightChars="0"/>
        <w:contextualSpacing w:val="0"/>
        <w:jc w:val="both"/>
        <w:rPr>
          <w:rFonts w:hint="default" w:eastAsia="SimSun" w:cs="Arial"/>
          <w:i w:val="0"/>
          <w:iCs w:val="0"/>
          <w:caps w:val="0"/>
          <w:color w:val="000000"/>
          <w:spacing w:val="0"/>
          <w:sz w:val="24"/>
          <w:szCs w:val="24"/>
          <w:lang w:val="pt-BR"/>
        </w:rPr>
      </w:pPr>
      <w:r>
        <w:rPr>
          <w:rFonts w:hint="default" w:eastAsia="SimSun" w:cs="Arial"/>
          <w:i w:val="0"/>
          <w:iCs w:val="0"/>
          <w:caps w:val="0"/>
          <w:color w:val="000000"/>
          <w:spacing w:val="0"/>
          <w:sz w:val="24"/>
          <w:szCs w:val="24"/>
          <w:lang w:val="pt-BR"/>
        </w:rPr>
        <w:t>5.3.7.3.</w:t>
      </w:r>
      <w:r>
        <w:rPr>
          <w:rFonts w:ascii="Arial" w:hAnsi="Arial" w:eastAsia="SimSun" w:cs="Arial"/>
          <w:i w:val="0"/>
          <w:iCs w:val="0"/>
          <w:caps w:val="0"/>
          <w:color w:val="000000"/>
          <w:spacing w:val="0"/>
          <w:sz w:val="24"/>
          <w:szCs w:val="24"/>
        </w:rPr>
        <w:t xml:space="preserve">A substituição de consorciado deverá ser expressamente autorizada pelo órgão ou entidade contratante e condicionada à comprovação de que a nova empresa do consórcio possui, no mínimo, </w:t>
      </w:r>
      <w:r>
        <w:rPr>
          <w:rFonts w:hint="default" w:eastAsia="SimSun" w:cs="Arial"/>
          <w:i w:val="0"/>
          <w:iCs w:val="0"/>
          <w:caps w:val="0"/>
          <w:color w:val="000000"/>
          <w:spacing w:val="0"/>
          <w:sz w:val="24"/>
          <w:szCs w:val="24"/>
          <w:lang w:val="pt-BR"/>
        </w:rPr>
        <w:t>se for o caso,</w:t>
      </w:r>
      <w:r>
        <w:rPr>
          <w:rFonts w:ascii="Arial" w:hAnsi="Arial" w:eastAsia="SimSun" w:cs="Arial"/>
          <w:i w:val="0"/>
          <w:iCs w:val="0"/>
          <w:caps w:val="0"/>
          <w:color w:val="000000"/>
          <w:spacing w:val="0"/>
          <w:sz w:val="24"/>
          <w:szCs w:val="24"/>
        </w:rPr>
        <w:t>os mesmos quantitativos para efeito de habilitação técnica e os mesmos valores para efeito de qualificação econômico-financeira apresentados pela empresa substituída para fins de habilitação do consórcio no processo licitatório que originou o contrato</w:t>
      </w:r>
      <w:r>
        <w:rPr>
          <w:rFonts w:hint="default" w:eastAsia="SimSun" w:cs="Arial"/>
          <w:i w:val="0"/>
          <w:iCs w:val="0"/>
          <w:caps w:val="0"/>
          <w:color w:val="000000"/>
          <w:spacing w:val="0"/>
          <w:sz w:val="24"/>
          <w:szCs w:val="24"/>
          <w:lang w:val="pt-BR"/>
        </w:rPr>
        <w:t>.</w:t>
      </w:r>
    </w:p>
    <w:p w14:paraId="446B653D">
      <w:pPr>
        <w:pStyle w:val="41"/>
        <w:numPr>
          <w:ilvl w:val="1"/>
          <w:numId w:val="4"/>
        </w:numPr>
        <w:tabs>
          <w:tab w:val="left" w:pos="709"/>
        </w:tabs>
        <w:spacing w:before="180" w:after="0"/>
        <w:ind w:left="0" w:right="0" w:rightChars="0" w:firstLine="0"/>
        <w:contextualSpacing/>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Consulta nos seguintes cadastros</w:t>
      </w:r>
      <w:r>
        <w:rPr>
          <w:rFonts w:cs="Arial"/>
          <w:color w:val="000000" w:themeColor="text1"/>
          <w:szCs w:val="24"/>
          <w:lang w:val="pt-BR"/>
          <w14:textFill>
            <w14:solidFill>
              <w14:schemeClr w14:val="tx1"/>
            </w14:solidFill>
          </w14:textFill>
        </w:rPr>
        <w:t>:</w:t>
      </w:r>
      <w:r>
        <w:rPr>
          <w:rFonts w:cs="Arial"/>
          <w:color w:val="000000" w:themeColor="text1"/>
          <w:szCs w:val="24"/>
          <w14:textFill>
            <w14:solidFill>
              <w14:schemeClr w14:val="tx1"/>
            </w14:solidFill>
          </w14:textFill>
        </w:rPr>
        <w:t xml:space="preserve"> </w:t>
      </w:r>
    </w:p>
    <w:p w14:paraId="1A1F9180">
      <w:pPr>
        <w:pStyle w:val="41"/>
        <w:tabs>
          <w:tab w:val="left" w:pos="709"/>
        </w:tabs>
        <w:spacing w:before="180" w:after="0"/>
        <w:ind w:left="0" w:right="0" w:rightChars="0"/>
        <w:contextualSpacing/>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Cadastro Nacional de Empresas Inidôneas e Suspensas - CEIS, mantido pela Controladoria-Geral da União;</w:t>
      </w:r>
    </w:p>
    <w:p w14:paraId="662F3392">
      <w:pPr>
        <w:tabs>
          <w:tab w:val="left" w:pos="709"/>
        </w:tabs>
        <w:spacing w:before="180" w:after="0"/>
        <w:ind w:right="0" w:rightChars="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 Cadastro Nacional de Empresas Punidas - CNEP, mantido pela Controladoria-Geral da União; </w:t>
      </w:r>
    </w:p>
    <w:p w14:paraId="0D926F14">
      <w:pPr>
        <w:tabs>
          <w:tab w:val="left" w:pos="709"/>
        </w:tabs>
        <w:spacing w:before="180" w:after="0"/>
        <w:ind w:right="0" w:rightChars="0"/>
        <w:jc w:val="both"/>
        <w:rPr>
          <w:rFonts w:hint="default" w:cs="Arial"/>
          <w:color w:val="000000" w:themeColor="text1"/>
          <w:szCs w:val="24"/>
          <w:lang w:val="pt-BR"/>
          <w14:textFill>
            <w14:solidFill>
              <w14:schemeClr w14:val="tx1"/>
            </w14:solidFill>
          </w14:textFill>
        </w:rPr>
      </w:pPr>
      <w:r>
        <w:rPr>
          <w:rFonts w:hint="default" w:cs="Arial"/>
          <w:color w:val="000000" w:themeColor="text1"/>
          <w:szCs w:val="24"/>
          <w:lang w:val="pt-BR"/>
          <w14:textFill>
            <w14:solidFill>
              <w14:schemeClr w14:val="tx1"/>
            </w14:solidFill>
          </w14:textFill>
        </w:rPr>
        <w:t xml:space="preserve">- </w:t>
      </w:r>
      <w:r>
        <w:rPr>
          <w:rFonts w:hint="default" w:ascii="Arial" w:hAnsi="Arial" w:eastAsia="Tahoma" w:cs="Arial"/>
          <w:i w:val="0"/>
          <w:iCs w:val="0"/>
          <w:caps w:val="0"/>
          <w:color w:val="000000" w:themeColor="text1"/>
          <w:spacing w:val="0"/>
          <w:sz w:val="24"/>
          <w:szCs w:val="24"/>
          <w14:textFill>
            <w14:solidFill>
              <w14:schemeClr w14:val="tx1"/>
            </w14:solidFill>
          </w14:textFill>
        </w:rPr>
        <w:t>Consultar restrições ao direito de contratar com a Administração Pública</w:t>
      </w:r>
      <w:r>
        <w:rPr>
          <w:rFonts w:hint="default" w:eastAsia="Tahoma" w:cs="Arial"/>
          <w:i w:val="0"/>
          <w:iCs w:val="0"/>
          <w:caps w:val="0"/>
          <w:color w:val="000000" w:themeColor="text1"/>
          <w:spacing w:val="0"/>
          <w:sz w:val="24"/>
          <w:szCs w:val="24"/>
          <w:lang w:val="pt-BR"/>
          <w14:textFill>
            <w14:solidFill>
              <w14:schemeClr w14:val="tx1"/>
            </w14:solidFill>
          </w14:textFill>
        </w:rPr>
        <w:t xml:space="preserve"> - TCE/PR.</w:t>
      </w:r>
    </w:p>
    <w:p w14:paraId="26666A79">
      <w:pPr>
        <w:pStyle w:val="41"/>
        <w:numPr>
          <w:ilvl w:val="1"/>
          <w:numId w:val="4"/>
        </w:numPr>
        <w:tabs>
          <w:tab w:val="left" w:pos="709"/>
        </w:tabs>
        <w:spacing w:before="180" w:after="0"/>
        <w:ind w:left="0" w:right="0" w:rightChars="0" w:firstLine="0"/>
        <w:contextualSpacing/>
        <w:jc w:val="both"/>
        <w:rPr>
          <w:rFonts w:cs="Arial"/>
          <w:color w:val="000000" w:themeColor="text1"/>
          <w:szCs w:val="24"/>
          <w14:textFill>
            <w14:solidFill>
              <w14:schemeClr w14:val="tx1"/>
            </w14:solidFill>
          </w14:textFill>
        </w:rPr>
      </w:pPr>
      <w:r>
        <w:rPr>
          <w:rFonts w:cs="Arial"/>
          <w:color w:val="000000"/>
          <w:szCs w:val="24"/>
        </w:rPr>
        <w:t>Preferencialmente todos os documentos de habilitação deverão constar no SICAF</w:t>
      </w:r>
      <w:r>
        <w:rPr>
          <w:rFonts w:cs="Arial"/>
          <w:color w:val="000000"/>
          <w:szCs w:val="24"/>
          <w:lang w:val="pt-BR"/>
        </w:rPr>
        <w:t>.</w:t>
      </w:r>
    </w:p>
    <w:p w14:paraId="67572E33">
      <w:pPr>
        <w:pStyle w:val="41"/>
        <w:numPr>
          <w:ilvl w:val="1"/>
          <w:numId w:val="4"/>
        </w:numPr>
        <w:tabs>
          <w:tab w:val="left" w:pos="709"/>
        </w:tabs>
        <w:spacing w:before="180" w:after="0"/>
        <w:ind w:left="0" w:right="0" w:rightChars="0" w:firstLine="0"/>
        <w:contextualSpacing/>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Caso algum dos documentos não possa ser obtido no SICAF ou nos respectivos portais, será solicitado os documentos comprobatório de regularidade ao licitante durante a sessão.</w:t>
      </w:r>
    </w:p>
    <w:p w14:paraId="39585972">
      <w:pPr>
        <w:pStyle w:val="41"/>
        <w:numPr>
          <w:ilvl w:val="1"/>
          <w:numId w:val="4"/>
        </w:numPr>
        <w:tabs>
          <w:tab w:val="left" w:pos="709"/>
        </w:tabs>
        <w:spacing w:before="180" w:after="0"/>
        <w:ind w:left="0" w:right="0" w:rightChars="0" w:firstLine="0"/>
        <w:contextualSpacing/>
        <w:jc w:val="both"/>
        <w:rPr>
          <w:rFonts w:cs="Arial"/>
          <w:color w:val="000000"/>
          <w:szCs w:val="24"/>
        </w:rPr>
      </w:pPr>
      <w:r>
        <w:rPr>
          <w:rStyle w:val="111"/>
          <w:rFonts w:eastAsia="Verdana" w:cs="Arial"/>
          <w:color w:val="000000"/>
          <w:szCs w:val="24"/>
          <w:u w:val="none"/>
        </w:rPr>
        <w:t xml:space="preserve">As Microempresas e Empresas de Pequeno Porte deverão apresentar os documentos referentes à </w:t>
      </w:r>
      <w:r>
        <w:rPr>
          <w:rStyle w:val="111"/>
          <w:rFonts w:eastAsia="Verdana" w:cs="Arial"/>
          <w:color w:val="000000"/>
          <w:szCs w:val="24"/>
        </w:rPr>
        <w:t>regularidade fiscal e trabalhista</w:t>
      </w:r>
      <w:r>
        <w:rPr>
          <w:rStyle w:val="111"/>
          <w:rFonts w:eastAsia="Verdana" w:cs="Arial"/>
          <w:color w:val="000000"/>
          <w:szCs w:val="24"/>
          <w:u w:val="none"/>
        </w:rPr>
        <w:t xml:space="preserve">, para eventual restrição será assegurado o prazo de 05(cinco) dias </w:t>
      </w:r>
      <w:r>
        <w:rPr>
          <w:rStyle w:val="111"/>
          <w:rFonts w:eastAsia="Verdana" w:cs="Arial"/>
          <w:color w:val="000000"/>
          <w:szCs w:val="24"/>
          <w:u w:val="none"/>
          <w:lang w:val="pt-BR"/>
        </w:rPr>
        <w:t>úteis</w:t>
      </w:r>
      <w:r>
        <w:rPr>
          <w:rStyle w:val="111"/>
          <w:rFonts w:eastAsia="Verdana" w:cs="Arial"/>
          <w:color w:val="000000"/>
          <w:szCs w:val="24"/>
          <w:u w:val="none"/>
        </w:rPr>
        <w:t>, cujo termino inicial corresponderá ao momento em que o proponente for declarado vencedor do certame, prorrogável por igual período, a critério da administração pública, para regularização da documentação</w:t>
      </w:r>
      <w:r>
        <w:rPr>
          <w:rStyle w:val="111"/>
          <w:rFonts w:ascii="Helvetica" w:hAnsi="Helvetica" w:eastAsia="Verdana" w:cs="Arial"/>
          <w:color w:val="000000"/>
          <w:szCs w:val="24"/>
          <w:u w:val="none"/>
        </w:rPr>
        <w:t xml:space="preserve">, </w:t>
      </w:r>
      <w:r>
        <w:rPr>
          <w:rStyle w:val="111"/>
          <w:rFonts w:eastAsia="Verdana" w:cs="Arial"/>
          <w:color w:val="000000"/>
          <w:szCs w:val="24"/>
          <w:u w:val="none"/>
        </w:rPr>
        <w:t xml:space="preserve"> na forma da Lei Complementar nº 123/2006 e alterações. </w:t>
      </w:r>
    </w:p>
    <w:p w14:paraId="576898EB">
      <w:pPr>
        <w:pStyle w:val="41"/>
        <w:numPr>
          <w:ilvl w:val="1"/>
          <w:numId w:val="4"/>
        </w:numPr>
        <w:tabs>
          <w:tab w:val="left" w:pos="709"/>
        </w:tabs>
        <w:spacing w:before="180" w:after="0"/>
        <w:ind w:left="0" w:right="0" w:rightChars="0" w:firstLine="0"/>
        <w:contextualSpacing/>
        <w:jc w:val="both"/>
        <w:rPr>
          <w:rFonts w:cs="Arial"/>
          <w:color w:val="000000" w:themeColor="text1"/>
          <w:szCs w:val="24"/>
          <w14:textFill>
            <w14:solidFill>
              <w14:schemeClr w14:val="tx1"/>
            </w14:solidFill>
          </w14:textFill>
        </w:rPr>
      </w:pPr>
      <w:r>
        <w:rPr>
          <w:rStyle w:val="111"/>
          <w:rFonts w:eastAsia="Verdana" w:cs="Arial"/>
          <w:color w:val="000000"/>
          <w:szCs w:val="24"/>
          <w:u w:val="none"/>
        </w:rPr>
        <w:t xml:space="preserve"> A não regularização da documentação, no prazo previsto no item </w:t>
      </w:r>
      <w:r>
        <w:rPr>
          <w:rStyle w:val="111"/>
          <w:rFonts w:eastAsia="Verdana" w:cs="Arial"/>
          <w:color w:val="000000"/>
          <w:szCs w:val="24"/>
          <w:u w:val="none"/>
          <w:lang w:val="pt-BR"/>
        </w:rPr>
        <w:t>5.7</w:t>
      </w:r>
      <w:r>
        <w:rPr>
          <w:rStyle w:val="111"/>
          <w:rFonts w:eastAsia="Verdana" w:cs="Arial"/>
          <w:color w:val="000000"/>
          <w:szCs w:val="24"/>
          <w:u w:val="none"/>
        </w:rPr>
        <w:t>, implicará decadência do direito à concessão, sem prejuízo das sanções previstas em legislação e regulamentações, sendo facultado à Administração convocar os licitantes remanescentes, na ordem de classificação, para a assinatura do contrato.</w:t>
      </w:r>
    </w:p>
    <w:p w14:paraId="6B6E70FD">
      <w:pPr>
        <w:pStyle w:val="41"/>
        <w:numPr>
          <w:ilvl w:val="1"/>
          <w:numId w:val="4"/>
        </w:numPr>
        <w:tabs>
          <w:tab w:val="left" w:pos="709"/>
        </w:tabs>
        <w:spacing w:before="180" w:after="0"/>
        <w:ind w:left="0" w:right="0" w:rightChars="0" w:firstLine="0"/>
        <w:contextualSpacing/>
        <w:jc w:val="both"/>
        <w:rPr>
          <w:rFonts w:hint="default"/>
          <w:b w:val="0"/>
          <w:bCs w:val="0"/>
          <w:lang w:val="pt-BR"/>
        </w:rPr>
      </w:pPr>
      <w:r>
        <w:rPr>
          <w:rStyle w:val="111"/>
          <w:rFonts w:hint="default" w:eastAsia="Verdana" w:cs="Arial"/>
          <w:color w:val="000000"/>
          <w:szCs w:val="24"/>
          <w:u w:val="single"/>
          <w:lang w:val="pt-BR"/>
        </w:rPr>
        <w:t xml:space="preserve">DOCUMENTOS ESPECÍFICOS </w:t>
      </w:r>
    </w:p>
    <w:p w14:paraId="126B5B81">
      <w:pPr>
        <w:pStyle w:val="41"/>
        <w:numPr>
          <w:ilvl w:val="2"/>
          <w:numId w:val="4"/>
        </w:numPr>
        <w:tabs>
          <w:tab w:val="left" w:pos="709"/>
          <w:tab w:val="clear" w:pos="0"/>
        </w:tabs>
        <w:spacing w:before="180" w:after="0"/>
        <w:ind w:left="0" w:leftChars="0" w:right="0" w:rightChars="0" w:firstLine="0" w:firstLineChars="0"/>
        <w:contextualSpacing/>
        <w:jc w:val="both"/>
        <w:rPr>
          <w:rFonts w:hint="default" w:ascii="Arial" w:hAnsi="Arial" w:cs="Arial"/>
          <w:sz w:val="24"/>
          <w:szCs w:val="24"/>
        </w:rPr>
      </w:pPr>
      <w:r>
        <w:rPr>
          <w:rFonts w:hint="default"/>
          <w:lang w:val="pt-BR"/>
        </w:rPr>
        <w:t>Apresentação de c</w:t>
      </w:r>
      <w:r>
        <w:rPr>
          <w:rStyle w:val="59"/>
          <w:rFonts w:hint="default" w:ascii="Arial" w:hAnsi="Arial" w:eastAsia="Segoe UI" w:cs="Arial"/>
          <w:i w:val="0"/>
          <w:iCs w:val="0"/>
          <w:caps w:val="0"/>
          <w:color w:val="000000"/>
          <w:spacing w:val="0"/>
          <w:sz w:val="24"/>
          <w:szCs w:val="24"/>
          <w:shd w:val="clear" w:fill="FFFFFF"/>
        </w:rPr>
        <w:t xml:space="preserve">omprovação de registro da empresa no Cadastro Técnico Federal de Atividades Potencialmente Poluidoras e/ ou utilizadoras de Recursos Ambientais, acompanhada do Certificado de Regularidade vigente (CTF/APP) – Instituto Brasileiro do Meio Ambiente e dos Recursos Naturais Renováveis – IBAMA. </w:t>
      </w:r>
    </w:p>
    <w:p w14:paraId="1252943B">
      <w:pPr>
        <w:pStyle w:val="41"/>
        <w:numPr>
          <w:ilvl w:val="0"/>
          <w:numId w:val="0"/>
        </w:numPr>
        <w:tabs>
          <w:tab w:val="left" w:pos="709"/>
        </w:tabs>
        <w:spacing w:before="180" w:after="0"/>
        <w:ind w:leftChars="0" w:right="0" w:rightChars="0"/>
        <w:contextualSpacing/>
        <w:jc w:val="both"/>
        <w:rPr>
          <w:rStyle w:val="59"/>
          <w:rFonts w:hint="default" w:ascii="Arial" w:hAnsi="Arial" w:eastAsia="Segoe UI" w:cs="Arial"/>
          <w:i w:val="0"/>
          <w:iCs w:val="0"/>
          <w:caps w:val="0"/>
          <w:color w:val="000000"/>
          <w:spacing w:val="0"/>
          <w:sz w:val="24"/>
          <w:szCs w:val="24"/>
          <w:shd w:val="clear" w:fill="FFFFFF"/>
        </w:rPr>
      </w:pPr>
      <w:r>
        <w:rPr>
          <w:rStyle w:val="59"/>
          <w:rFonts w:hint="default" w:eastAsia="Segoe UI" w:cs="Arial"/>
          <w:i w:val="0"/>
          <w:iCs w:val="0"/>
          <w:caps w:val="0"/>
          <w:color w:val="000000"/>
          <w:spacing w:val="0"/>
          <w:sz w:val="24"/>
          <w:szCs w:val="24"/>
          <w:shd w:val="clear" w:fill="FFFFFF"/>
          <w:lang w:val="pt-BR"/>
        </w:rPr>
        <w:t>5.9.2.</w:t>
      </w:r>
      <w:r>
        <w:rPr>
          <w:rStyle w:val="59"/>
          <w:rFonts w:hint="default" w:ascii="Arial" w:hAnsi="Arial" w:eastAsia="Segoe UI" w:cs="Arial"/>
          <w:i w:val="0"/>
          <w:iCs w:val="0"/>
          <w:caps w:val="0"/>
          <w:color w:val="000000"/>
          <w:spacing w:val="0"/>
          <w:sz w:val="24"/>
          <w:szCs w:val="24"/>
          <w:shd w:val="clear" w:fill="FFFFFF"/>
        </w:rPr>
        <w:t xml:space="preserve">Para as licitantes que comprovem atuar exclusivamente na atividade de revenda e logística de produto massa asfáltica (CBUQ), sem operação de usina própria ou manipulação química, a exigência do CTF/APP (IBAMA) será considerada atendida mediante a apresentação conjunta de: </w:t>
      </w:r>
    </w:p>
    <w:p w14:paraId="094F8F93">
      <w:pPr>
        <w:pStyle w:val="41"/>
        <w:numPr>
          <w:ilvl w:val="0"/>
          <w:numId w:val="0"/>
        </w:numPr>
        <w:tabs>
          <w:tab w:val="left" w:pos="709"/>
        </w:tabs>
        <w:spacing w:before="180" w:after="0"/>
        <w:ind w:leftChars="0" w:right="0" w:rightChars="0"/>
        <w:contextualSpacing/>
        <w:jc w:val="both"/>
        <w:rPr>
          <w:rStyle w:val="59"/>
          <w:rFonts w:hint="default" w:ascii="Arial" w:hAnsi="Arial" w:eastAsia="Segoe UI" w:cs="Arial"/>
          <w:i w:val="0"/>
          <w:iCs w:val="0"/>
          <w:caps w:val="0"/>
          <w:color w:val="000000"/>
          <w:spacing w:val="0"/>
          <w:sz w:val="24"/>
          <w:szCs w:val="24"/>
          <w:shd w:val="clear" w:fill="FFFFFF"/>
        </w:rPr>
      </w:pPr>
      <w:r>
        <w:rPr>
          <w:rStyle w:val="59"/>
          <w:rFonts w:hint="default" w:ascii="Arial" w:hAnsi="Arial" w:eastAsia="Segoe UI" w:cs="Arial"/>
          <w:i w:val="0"/>
          <w:iCs w:val="0"/>
          <w:caps w:val="0"/>
          <w:color w:val="000000"/>
          <w:spacing w:val="0"/>
          <w:sz w:val="24"/>
          <w:szCs w:val="24"/>
          <w:shd w:val="clear" w:fill="FFFFFF"/>
        </w:rPr>
        <w:t xml:space="preserve">a) Certificado de Regularidade e CTF/APP em nome do FABRICANTE do produto ofertado; </w:t>
      </w:r>
    </w:p>
    <w:p w14:paraId="3DB1833C">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jc w:val="both"/>
        <w:textAlignment w:val="auto"/>
        <w:rPr>
          <w:rStyle w:val="59"/>
          <w:rFonts w:hint="default" w:ascii="Arial" w:hAnsi="Arial" w:eastAsia="Segoe UI" w:cs="Arial"/>
          <w:i w:val="0"/>
          <w:iCs w:val="0"/>
          <w:caps w:val="0"/>
          <w:color w:val="000000"/>
          <w:spacing w:val="0"/>
          <w:sz w:val="24"/>
          <w:szCs w:val="24"/>
          <w:shd w:val="clear" w:fill="FFFFFF"/>
        </w:rPr>
      </w:pPr>
      <w:r>
        <w:rPr>
          <w:rStyle w:val="59"/>
          <w:rFonts w:hint="default" w:ascii="Arial" w:hAnsi="Arial" w:eastAsia="Segoe UI" w:cs="Arial"/>
          <w:i w:val="0"/>
          <w:iCs w:val="0"/>
          <w:caps w:val="0"/>
          <w:color w:val="000000"/>
          <w:spacing w:val="0"/>
          <w:sz w:val="24"/>
          <w:szCs w:val="24"/>
          <w:shd w:val="clear" w:fill="FFFFFF"/>
        </w:rPr>
        <w:t>b) Documento ou declaração devidamente válidos que comprovem que a atividade de</w:t>
      </w:r>
      <w:r>
        <w:rPr>
          <w:rStyle w:val="59"/>
          <w:rFonts w:hint="default" w:ascii="Arial" w:hAnsi="Arial" w:eastAsia="Segoe UI" w:cs="Arial"/>
          <w:i w:val="0"/>
          <w:iCs w:val="0"/>
          <w:caps w:val="0"/>
          <w:color w:val="000000"/>
          <w:spacing w:val="0"/>
          <w:sz w:val="24"/>
          <w:szCs w:val="24"/>
          <w:shd w:val="clear" w:fill="FFFFFF"/>
          <w:lang w:val="pt-BR"/>
        </w:rPr>
        <w:t xml:space="preserve"> </w:t>
      </w:r>
      <w:r>
        <w:rPr>
          <w:rStyle w:val="59"/>
          <w:rFonts w:hint="default" w:ascii="Arial" w:hAnsi="Arial" w:eastAsia="Segoe UI" w:cs="Arial"/>
          <w:i w:val="0"/>
          <w:iCs w:val="0"/>
          <w:caps w:val="0"/>
          <w:color w:val="000000"/>
          <w:spacing w:val="0"/>
          <w:sz w:val="24"/>
          <w:szCs w:val="24"/>
          <w:shd w:val="clear" w:fill="FFFFFF"/>
        </w:rPr>
        <w:t xml:space="preserve">comércio/revenda exercida pela licitante é dispensada de registro próprio no IBAMA, nos termos da Instrução Normativa nº 13/2021. </w:t>
      </w:r>
    </w:p>
    <w:p w14:paraId="74ABA7F0">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rPr>
        <w:t xml:space="preserve">c) Comprovante de vínculo (contrato, declaração de parceria ou nota fiscal de aquisição </w:t>
      </w:r>
    </w:p>
    <w:p w14:paraId="5CF52DDC">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jc w:val="both"/>
        <w:textAlignment w:val="auto"/>
        <w:rPr>
          <w:rFonts w:hint="default" w:ascii="Arial" w:hAnsi="Arial" w:cs="Arial"/>
          <w:sz w:val="24"/>
          <w:szCs w:val="24"/>
          <w:lang w:val="pt-BR"/>
        </w:rPr>
      </w:pPr>
      <w:r>
        <w:rPr>
          <w:rStyle w:val="59"/>
          <w:rFonts w:hint="default" w:ascii="Arial" w:hAnsi="Arial" w:eastAsia="Segoe UI" w:cs="Arial"/>
          <w:i w:val="0"/>
          <w:iCs w:val="0"/>
          <w:caps w:val="0"/>
          <w:color w:val="000000"/>
          <w:spacing w:val="0"/>
          <w:sz w:val="24"/>
          <w:szCs w:val="24"/>
          <w:shd w:val="clear" w:fill="FFFFFF"/>
        </w:rPr>
        <w:t>recente) que ateste a procedência do material junto ao fabricante apresentado</w:t>
      </w:r>
      <w:r>
        <w:rPr>
          <w:rStyle w:val="59"/>
          <w:rFonts w:hint="default" w:ascii="Arial" w:hAnsi="Arial" w:eastAsia="Segoe UI" w:cs="Arial"/>
          <w:i w:val="0"/>
          <w:iCs w:val="0"/>
          <w:caps w:val="0"/>
          <w:color w:val="000000"/>
          <w:spacing w:val="0"/>
          <w:sz w:val="24"/>
          <w:szCs w:val="24"/>
          <w:shd w:val="clear" w:fill="FFFFFF"/>
          <w:lang w:val="pt-BR"/>
        </w:rPr>
        <w:t>.</w:t>
      </w:r>
    </w:p>
    <w:p w14:paraId="57459454">
      <w:pPr>
        <w:pStyle w:val="117"/>
        <w:numPr>
          <w:ilvl w:val="0"/>
          <w:numId w:val="4"/>
        </w:numPr>
        <w:ind w:left="360" w:right="0" w:rightChars="0" w:hanging="360"/>
      </w:pPr>
      <w:r>
        <w:t xml:space="preserve">EM QUE SITUAÇÕES VOCÊ, ENQUANTO PROPONENTE, PODERÁ SER SANCIONADO </w:t>
      </w:r>
    </w:p>
    <w:p w14:paraId="73A48B80">
      <w:pPr>
        <w:pStyle w:val="41"/>
        <w:tabs>
          <w:tab w:val="left" w:pos="0"/>
        </w:tabs>
        <w:spacing w:before="0" w:after="0"/>
        <w:ind w:left="0" w:right="0" w:rightChars="0"/>
        <w:contextualSpacing/>
        <w:jc w:val="both"/>
        <w:rPr>
          <w:rFonts w:cs="Arial"/>
          <w:color w:val="000000"/>
          <w:szCs w:val="24"/>
        </w:rPr>
      </w:pPr>
      <w:bookmarkStart w:id="6" w:name="art155xi"/>
      <w:bookmarkEnd w:id="6"/>
    </w:p>
    <w:p w14:paraId="04A2416E">
      <w:pPr>
        <w:pStyle w:val="41"/>
        <w:numPr>
          <w:ilvl w:val="1"/>
          <w:numId w:val="4"/>
        </w:numPr>
        <w:spacing w:before="0" w:after="0"/>
        <w:ind w:left="0" w:right="0" w:rightChars="0" w:firstLine="0"/>
        <w:contextualSpacing/>
        <w:jc w:val="both"/>
        <w:rPr>
          <w:rFonts w:cs="Arial"/>
          <w:color w:val="000000"/>
          <w:szCs w:val="24"/>
        </w:rPr>
      </w:pPr>
      <w:r>
        <w:rPr>
          <w:rFonts w:cs="Arial"/>
          <w:color w:val="000000"/>
          <w:szCs w:val="24"/>
        </w:rPr>
        <w:t xml:space="preserve">As infrações praticadas pelo licitante serão sancionáveis de acordo com sua gravidade, respeitado o contraditório e a ampla defesa, seguindo o rito processual detalhado no link: </w:t>
      </w:r>
      <w:r>
        <w:fldChar w:fldCharType="begin"/>
      </w:r>
      <w:r>
        <w:instrText xml:space="preserve"> HYPERLINK "https://docs.google.com/document/d/e/2PACX-1vSnb-iDZC2BD4dl7FvB81HuMLxb_WAFj1hu-EDmzSG2aBQLaA3jaz_U4OwoxEu8FZtYtNBLRMo6q8md/pub" \h </w:instrText>
      </w:r>
      <w:r>
        <w:fldChar w:fldCharType="separate"/>
      </w:r>
      <w:r>
        <w:rPr>
          <w:rStyle w:val="15"/>
          <w:rFonts w:cs="Arial"/>
          <w:szCs w:val="24"/>
        </w:rPr>
        <w:t>Processo sancionatório</w:t>
      </w:r>
      <w:r>
        <w:rPr>
          <w:rStyle w:val="15"/>
          <w:rFonts w:cs="Arial"/>
          <w:szCs w:val="24"/>
        </w:rPr>
        <w:fldChar w:fldCharType="end"/>
      </w:r>
      <w:r>
        <w:rPr>
          <w:rFonts w:cs="Arial"/>
          <w:color w:val="000000"/>
          <w:szCs w:val="24"/>
        </w:rPr>
        <w:t>.</w:t>
      </w:r>
    </w:p>
    <w:p w14:paraId="171D6147">
      <w:pPr>
        <w:pStyle w:val="41"/>
        <w:numPr>
          <w:ilvl w:val="1"/>
          <w:numId w:val="4"/>
        </w:numPr>
        <w:spacing w:before="0" w:after="0"/>
        <w:ind w:left="0" w:right="0" w:rightChars="0" w:firstLine="0"/>
        <w:contextualSpacing/>
        <w:jc w:val="both"/>
        <w:rPr>
          <w:rFonts w:cs="Arial"/>
          <w:color w:val="000000"/>
          <w:szCs w:val="24"/>
        </w:rPr>
      </w:pPr>
      <w:r>
        <w:rPr>
          <w:rFonts w:cs="Arial"/>
          <w:color w:val="000000"/>
          <w:szCs w:val="24"/>
        </w:rPr>
        <w:t xml:space="preserve">Ao licitante infrator poderá ser aplicada penalidade de impedimento de licitar e contratar, nos termos da tabela: </w:t>
      </w:r>
    </w:p>
    <w:tbl>
      <w:tblPr>
        <w:tblStyle w:val="27"/>
        <w:tblW w:w="921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38"/>
        <w:gridCol w:w="3402"/>
        <w:gridCol w:w="1674"/>
      </w:tblGrid>
      <w:tr w14:paraId="790A9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66EEE16C">
            <w:pPr>
              <w:widowControl/>
              <w:suppressAutoHyphens/>
              <w:spacing w:before="0" w:after="0" w:line="312" w:lineRule="auto"/>
              <w:jc w:val="center"/>
              <w:rPr>
                <w:rFonts w:eastAsiaTheme="minorHAnsi"/>
                <w:b/>
                <w:bCs/>
                <w:sz w:val="16"/>
                <w:szCs w:val="16"/>
              </w:rPr>
            </w:pPr>
            <w:r>
              <w:rPr>
                <w:rFonts w:eastAsiaTheme="minorHAnsi"/>
                <w:b/>
                <w:bCs/>
                <w:kern w:val="0"/>
                <w:sz w:val="16"/>
                <w:szCs w:val="16"/>
              </w:rPr>
              <w:t>INFRAÇÃO COMETIDA</w:t>
            </w:r>
          </w:p>
        </w:tc>
        <w:tc>
          <w:tcPr>
            <w:tcW w:w="3402" w:type="dxa"/>
            <w:vAlign w:val="center"/>
          </w:tcPr>
          <w:p w14:paraId="0E0D8185">
            <w:pPr>
              <w:widowControl/>
              <w:suppressAutoHyphens/>
              <w:spacing w:before="0" w:after="0" w:line="312" w:lineRule="auto"/>
              <w:jc w:val="center"/>
              <w:rPr>
                <w:rFonts w:eastAsiaTheme="minorHAnsi"/>
                <w:b/>
                <w:bCs/>
                <w:sz w:val="16"/>
                <w:szCs w:val="16"/>
              </w:rPr>
            </w:pPr>
            <w:r>
              <w:rPr>
                <w:rFonts w:eastAsiaTheme="minorHAnsi"/>
                <w:b/>
                <w:bCs/>
                <w:kern w:val="0"/>
                <w:sz w:val="16"/>
                <w:szCs w:val="16"/>
              </w:rPr>
              <w:t>PENALIDADE</w:t>
            </w:r>
          </w:p>
        </w:tc>
        <w:tc>
          <w:tcPr>
            <w:tcW w:w="1674" w:type="dxa"/>
            <w:vAlign w:val="center"/>
          </w:tcPr>
          <w:p w14:paraId="304483AF">
            <w:pPr>
              <w:widowControl/>
              <w:suppressAutoHyphens/>
              <w:spacing w:before="0" w:after="0" w:line="312" w:lineRule="auto"/>
              <w:jc w:val="center"/>
              <w:rPr>
                <w:rFonts w:eastAsiaTheme="minorHAnsi"/>
                <w:b/>
                <w:bCs/>
                <w:sz w:val="16"/>
                <w:szCs w:val="16"/>
              </w:rPr>
            </w:pPr>
            <w:r>
              <w:rPr>
                <w:rFonts w:eastAsiaTheme="minorHAnsi"/>
                <w:b/>
                <w:bCs/>
                <w:kern w:val="0"/>
                <w:sz w:val="16"/>
                <w:szCs w:val="16"/>
              </w:rPr>
              <w:t>PRAZO</w:t>
            </w:r>
          </w:p>
        </w:tc>
      </w:tr>
      <w:tr w14:paraId="31CD6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3BFD9F6E">
            <w:pPr>
              <w:widowControl/>
              <w:suppressAutoHyphens/>
              <w:spacing w:before="0" w:after="0" w:line="312" w:lineRule="auto"/>
              <w:jc w:val="both"/>
              <w:rPr>
                <w:rFonts w:eastAsiaTheme="minorHAnsi"/>
                <w:color w:val="000000"/>
                <w:sz w:val="16"/>
                <w:szCs w:val="16"/>
              </w:rPr>
            </w:pPr>
            <w:r>
              <w:rPr>
                <w:rFonts w:eastAsiaTheme="minorHAnsi"/>
                <w:kern w:val="0"/>
                <w:sz w:val="16"/>
                <w:szCs w:val="16"/>
              </w:rPr>
              <w:t>Deixar de entregar a documentação exigida para o certame, mesmo após a possibilidade de saneamento</w:t>
            </w:r>
          </w:p>
        </w:tc>
        <w:tc>
          <w:tcPr>
            <w:tcW w:w="3402" w:type="dxa"/>
            <w:vAlign w:val="center"/>
          </w:tcPr>
          <w:p w14:paraId="69C5BDE6">
            <w:pPr>
              <w:widowControl/>
              <w:suppressAutoHyphens/>
              <w:spacing w:before="0" w:after="0" w:line="312" w:lineRule="auto"/>
              <w:jc w:val="center"/>
              <w:rPr>
                <w:rFonts w:eastAsiaTheme="minorHAnsi"/>
                <w:sz w:val="16"/>
                <w:szCs w:val="16"/>
              </w:rPr>
            </w:pPr>
            <w:r>
              <w:rPr>
                <w:rFonts w:eastAsiaTheme="minorHAnsi"/>
                <w:kern w:val="0"/>
                <w:sz w:val="16"/>
                <w:szCs w:val="16"/>
              </w:rPr>
              <w:t>Impedimento de licitar ou contratar com o município de Paranavaí</w:t>
            </w:r>
          </w:p>
        </w:tc>
        <w:tc>
          <w:tcPr>
            <w:tcW w:w="1674" w:type="dxa"/>
            <w:vAlign w:val="center"/>
          </w:tcPr>
          <w:p w14:paraId="69ECD7E4">
            <w:pPr>
              <w:widowControl/>
              <w:suppressAutoHyphens/>
              <w:spacing w:before="0" w:after="0" w:line="312" w:lineRule="auto"/>
              <w:jc w:val="center"/>
              <w:rPr>
                <w:rFonts w:eastAsiaTheme="minorHAnsi"/>
                <w:sz w:val="16"/>
                <w:szCs w:val="16"/>
              </w:rPr>
            </w:pPr>
            <w:r>
              <w:rPr>
                <w:rFonts w:eastAsiaTheme="minorHAnsi"/>
                <w:kern w:val="0"/>
                <w:sz w:val="16"/>
                <w:szCs w:val="16"/>
              </w:rPr>
              <w:t>6 meses</w:t>
            </w:r>
          </w:p>
        </w:tc>
      </w:tr>
      <w:tr w14:paraId="6BDC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0A0EB795">
            <w:pPr>
              <w:widowControl/>
              <w:suppressAutoHyphens/>
              <w:spacing w:before="0" w:after="0" w:line="312" w:lineRule="auto"/>
              <w:jc w:val="both"/>
              <w:rPr>
                <w:rFonts w:eastAsiaTheme="minorHAnsi"/>
                <w:sz w:val="16"/>
                <w:szCs w:val="16"/>
              </w:rPr>
            </w:pPr>
            <w:r>
              <w:rPr>
                <w:rFonts w:eastAsiaTheme="minorHAnsi"/>
                <w:kern w:val="0"/>
                <w:sz w:val="16"/>
                <w:szCs w:val="16"/>
              </w:rPr>
              <w:t>Não manter a proposta, salvo em decorrência de fato superveniente devidamente justificado</w:t>
            </w:r>
          </w:p>
        </w:tc>
        <w:tc>
          <w:tcPr>
            <w:tcW w:w="3402" w:type="dxa"/>
            <w:vAlign w:val="center"/>
          </w:tcPr>
          <w:p w14:paraId="498D54C3">
            <w:pPr>
              <w:widowControl/>
              <w:suppressAutoHyphens/>
              <w:spacing w:before="0" w:after="0" w:line="312" w:lineRule="auto"/>
              <w:jc w:val="center"/>
              <w:rPr>
                <w:rFonts w:eastAsiaTheme="minorHAnsi"/>
                <w:sz w:val="16"/>
                <w:szCs w:val="16"/>
              </w:rPr>
            </w:pPr>
            <w:r>
              <w:rPr>
                <w:rFonts w:eastAsiaTheme="minorHAnsi"/>
                <w:kern w:val="0"/>
                <w:sz w:val="16"/>
                <w:szCs w:val="16"/>
              </w:rPr>
              <w:t>Impedimento de licitar ou contratar com o município de Paranavaí</w:t>
            </w:r>
          </w:p>
        </w:tc>
        <w:tc>
          <w:tcPr>
            <w:tcW w:w="1674" w:type="dxa"/>
            <w:vAlign w:val="center"/>
          </w:tcPr>
          <w:p w14:paraId="03E58294">
            <w:pPr>
              <w:widowControl/>
              <w:suppressAutoHyphens/>
              <w:spacing w:before="0" w:after="0" w:line="312" w:lineRule="auto"/>
              <w:jc w:val="center"/>
              <w:rPr>
                <w:rFonts w:eastAsiaTheme="minorHAnsi"/>
                <w:sz w:val="16"/>
                <w:szCs w:val="16"/>
              </w:rPr>
            </w:pPr>
            <w:r>
              <w:rPr>
                <w:rFonts w:eastAsiaTheme="minorHAnsi"/>
                <w:kern w:val="0"/>
                <w:sz w:val="16"/>
                <w:szCs w:val="16"/>
              </w:rPr>
              <w:t>6 meses</w:t>
            </w:r>
          </w:p>
        </w:tc>
      </w:tr>
      <w:tr w14:paraId="20B9F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2D345D5B">
            <w:pPr>
              <w:widowControl/>
              <w:suppressAutoHyphens/>
              <w:spacing w:before="0" w:after="0" w:line="312" w:lineRule="auto"/>
              <w:jc w:val="both"/>
              <w:rPr>
                <w:rFonts w:eastAsiaTheme="minorHAnsi"/>
                <w:sz w:val="16"/>
                <w:szCs w:val="16"/>
              </w:rPr>
            </w:pPr>
            <w:r>
              <w:rPr>
                <w:rFonts w:eastAsiaTheme="minorHAnsi"/>
                <w:kern w:val="0"/>
                <w:sz w:val="16"/>
                <w:szCs w:val="16"/>
              </w:rPr>
              <w:t>Não celebrar o contrato ou não entregar a documentação exigida para a contratação, quando convocado dentro do prazo de validade de sua proposta</w:t>
            </w:r>
          </w:p>
        </w:tc>
        <w:tc>
          <w:tcPr>
            <w:tcW w:w="3402" w:type="dxa"/>
            <w:vAlign w:val="center"/>
          </w:tcPr>
          <w:p w14:paraId="33FE9B08">
            <w:pPr>
              <w:widowControl/>
              <w:suppressAutoHyphens/>
              <w:spacing w:before="0" w:after="0" w:line="312" w:lineRule="auto"/>
              <w:jc w:val="center"/>
              <w:rPr>
                <w:rFonts w:eastAsiaTheme="minorHAnsi"/>
                <w:sz w:val="16"/>
                <w:szCs w:val="16"/>
              </w:rPr>
            </w:pPr>
            <w:r>
              <w:rPr>
                <w:rFonts w:eastAsiaTheme="minorHAnsi"/>
                <w:kern w:val="0"/>
                <w:sz w:val="16"/>
                <w:szCs w:val="16"/>
              </w:rPr>
              <w:t>Impedimento de licitar ou contratar com o município de Paranavaí</w:t>
            </w:r>
          </w:p>
        </w:tc>
        <w:tc>
          <w:tcPr>
            <w:tcW w:w="1674" w:type="dxa"/>
            <w:vAlign w:val="center"/>
          </w:tcPr>
          <w:p w14:paraId="42C88978">
            <w:pPr>
              <w:widowControl/>
              <w:suppressAutoHyphens/>
              <w:spacing w:before="0" w:after="0" w:line="312" w:lineRule="auto"/>
              <w:jc w:val="center"/>
              <w:rPr>
                <w:rFonts w:eastAsiaTheme="minorHAnsi"/>
                <w:sz w:val="16"/>
                <w:szCs w:val="16"/>
              </w:rPr>
            </w:pPr>
            <w:r>
              <w:rPr>
                <w:rFonts w:eastAsiaTheme="minorHAnsi"/>
                <w:kern w:val="0"/>
                <w:sz w:val="16"/>
                <w:szCs w:val="16"/>
              </w:rPr>
              <w:t>6 meses</w:t>
            </w:r>
          </w:p>
        </w:tc>
      </w:tr>
      <w:tr w14:paraId="371C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544BCC61">
            <w:pPr>
              <w:widowControl/>
              <w:suppressAutoHyphens/>
              <w:spacing w:before="0" w:after="0" w:line="312" w:lineRule="auto"/>
              <w:jc w:val="both"/>
              <w:rPr>
                <w:rFonts w:eastAsiaTheme="minorHAnsi"/>
                <w:sz w:val="16"/>
                <w:szCs w:val="16"/>
              </w:rPr>
            </w:pPr>
            <w:r>
              <w:rPr>
                <w:rFonts w:eastAsiaTheme="minorHAnsi"/>
                <w:kern w:val="0"/>
                <w:sz w:val="16"/>
                <w:szCs w:val="16"/>
              </w:rPr>
              <w:t>Apresentar recursos manifestamente protelatórios</w:t>
            </w:r>
          </w:p>
        </w:tc>
        <w:tc>
          <w:tcPr>
            <w:tcW w:w="3402" w:type="dxa"/>
            <w:vAlign w:val="center"/>
          </w:tcPr>
          <w:p w14:paraId="3632A941">
            <w:pPr>
              <w:widowControl/>
              <w:suppressAutoHyphens/>
              <w:spacing w:before="0" w:after="0" w:line="312" w:lineRule="auto"/>
              <w:jc w:val="center"/>
              <w:rPr>
                <w:rFonts w:eastAsiaTheme="minorHAnsi"/>
                <w:sz w:val="16"/>
                <w:szCs w:val="16"/>
              </w:rPr>
            </w:pPr>
            <w:r>
              <w:rPr>
                <w:rFonts w:eastAsiaTheme="minorHAnsi"/>
                <w:kern w:val="0"/>
                <w:sz w:val="16"/>
                <w:szCs w:val="16"/>
              </w:rPr>
              <w:t>Impedimento de licitar ou contratar com o município de Paranavaí</w:t>
            </w:r>
          </w:p>
        </w:tc>
        <w:tc>
          <w:tcPr>
            <w:tcW w:w="1674" w:type="dxa"/>
            <w:vAlign w:val="center"/>
          </w:tcPr>
          <w:p w14:paraId="7FB8A7A5">
            <w:pPr>
              <w:widowControl/>
              <w:suppressAutoHyphens/>
              <w:spacing w:before="0" w:after="0" w:line="312" w:lineRule="auto"/>
              <w:jc w:val="center"/>
              <w:rPr>
                <w:rFonts w:eastAsiaTheme="minorHAnsi"/>
                <w:sz w:val="16"/>
                <w:szCs w:val="16"/>
              </w:rPr>
            </w:pPr>
            <w:r>
              <w:rPr>
                <w:rFonts w:eastAsiaTheme="minorHAnsi"/>
                <w:kern w:val="0"/>
                <w:sz w:val="16"/>
                <w:szCs w:val="16"/>
              </w:rPr>
              <w:t>6 meses</w:t>
            </w:r>
          </w:p>
        </w:tc>
      </w:tr>
      <w:tr w14:paraId="3B2D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6ADF2795">
            <w:pPr>
              <w:widowControl/>
              <w:suppressAutoHyphens/>
              <w:spacing w:before="0" w:after="0" w:line="312" w:lineRule="auto"/>
              <w:jc w:val="both"/>
              <w:rPr>
                <w:rFonts w:eastAsiaTheme="minorHAnsi"/>
                <w:sz w:val="16"/>
                <w:szCs w:val="16"/>
              </w:rPr>
            </w:pPr>
            <w:r>
              <w:rPr>
                <w:rFonts w:eastAsiaTheme="minorHAnsi"/>
                <w:kern w:val="0"/>
                <w:sz w:val="16"/>
                <w:szCs w:val="16"/>
              </w:rPr>
              <w:t>Apresentar declaração ou documentação falsa exigida para o certame ou prestar declaração falsa durante a seleção do fornecedor</w:t>
            </w:r>
          </w:p>
        </w:tc>
        <w:tc>
          <w:tcPr>
            <w:tcW w:w="3402" w:type="dxa"/>
            <w:vAlign w:val="center"/>
          </w:tcPr>
          <w:p w14:paraId="2D16B54D">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3B601C59">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r w14:paraId="12FB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6000E379">
            <w:pPr>
              <w:widowControl/>
              <w:suppressAutoHyphens/>
              <w:spacing w:before="0" w:after="0" w:line="312" w:lineRule="auto"/>
              <w:jc w:val="both"/>
              <w:rPr>
                <w:rFonts w:eastAsiaTheme="minorHAnsi"/>
                <w:sz w:val="16"/>
                <w:szCs w:val="16"/>
              </w:rPr>
            </w:pPr>
            <w:r>
              <w:rPr>
                <w:rFonts w:eastAsiaTheme="minorHAnsi"/>
                <w:kern w:val="0"/>
                <w:sz w:val="16"/>
                <w:szCs w:val="16"/>
              </w:rPr>
              <w:t>Fraudar a seleção do fornecedor</w:t>
            </w:r>
          </w:p>
        </w:tc>
        <w:tc>
          <w:tcPr>
            <w:tcW w:w="3402" w:type="dxa"/>
            <w:vAlign w:val="center"/>
          </w:tcPr>
          <w:p w14:paraId="79B84CB0">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68B7D910">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r w14:paraId="3705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6CBAF314">
            <w:pPr>
              <w:widowControl/>
              <w:suppressAutoHyphens/>
              <w:spacing w:before="0" w:after="0" w:line="312" w:lineRule="auto"/>
              <w:jc w:val="both"/>
              <w:rPr>
                <w:rFonts w:eastAsiaTheme="minorHAnsi"/>
                <w:sz w:val="16"/>
                <w:szCs w:val="16"/>
              </w:rPr>
            </w:pPr>
            <w:r>
              <w:rPr>
                <w:rFonts w:eastAsiaTheme="minorHAnsi"/>
                <w:kern w:val="0"/>
                <w:sz w:val="16"/>
                <w:szCs w:val="16"/>
              </w:rPr>
              <w:t>Comportar-se de modo inidôneo ou cometer fraude de qualquer natureza</w:t>
            </w:r>
          </w:p>
        </w:tc>
        <w:tc>
          <w:tcPr>
            <w:tcW w:w="3402" w:type="dxa"/>
            <w:vAlign w:val="center"/>
          </w:tcPr>
          <w:p w14:paraId="234E586E">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42BF3498">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r w14:paraId="11AD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23E6AA89">
            <w:pPr>
              <w:widowControl/>
              <w:suppressAutoHyphens/>
              <w:spacing w:before="0" w:after="0" w:line="312" w:lineRule="auto"/>
              <w:jc w:val="both"/>
              <w:rPr>
                <w:rFonts w:eastAsiaTheme="minorHAnsi"/>
                <w:sz w:val="16"/>
                <w:szCs w:val="16"/>
              </w:rPr>
            </w:pPr>
            <w:r>
              <w:rPr>
                <w:rFonts w:eastAsiaTheme="minorHAnsi"/>
                <w:kern w:val="0"/>
                <w:sz w:val="16"/>
                <w:szCs w:val="16"/>
              </w:rPr>
              <w:t>Praticar atos ilícitos com vistas a frustrar os objetivos da seleção do fornecedor</w:t>
            </w:r>
          </w:p>
        </w:tc>
        <w:tc>
          <w:tcPr>
            <w:tcW w:w="3402" w:type="dxa"/>
            <w:vAlign w:val="center"/>
          </w:tcPr>
          <w:p w14:paraId="09944965">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6F413BF7">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r w14:paraId="033C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1D37B587">
            <w:pPr>
              <w:widowControl/>
              <w:suppressAutoHyphens/>
              <w:spacing w:before="0" w:after="0" w:line="312" w:lineRule="auto"/>
              <w:jc w:val="both"/>
              <w:rPr>
                <w:rFonts w:eastAsiaTheme="minorHAnsi"/>
                <w:sz w:val="16"/>
                <w:szCs w:val="16"/>
              </w:rPr>
            </w:pPr>
            <w:r>
              <w:rPr>
                <w:rFonts w:eastAsiaTheme="minorHAnsi"/>
                <w:kern w:val="0"/>
                <w:sz w:val="16"/>
                <w:szCs w:val="16"/>
              </w:rPr>
              <w:t>Praticar ato lesivo previsto no art. 5º da Lei nº 12.846, de 1º de agosto de 2013</w:t>
            </w:r>
          </w:p>
        </w:tc>
        <w:tc>
          <w:tcPr>
            <w:tcW w:w="3402" w:type="dxa"/>
            <w:vAlign w:val="center"/>
          </w:tcPr>
          <w:p w14:paraId="7C3335BA">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3D49E7C3">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bl>
    <w:p w14:paraId="38A8FF9E">
      <w:pPr>
        <w:pStyle w:val="117"/>
        <w:numPr>
          <w:ilvl w:val="0"/>
          <w:numId w:val="4"/>
        </w:numPr>
        <w:ind w:left="360" w:right="1034" w:hanging="360"/>
      </w:pPr>
      <w:r>
        <w:t>INFORMAÇÕES GERAIS</w:t>
      </w:r>
    </w:p>
    <w:p w14:paraId="06C49893">
      <w:pPr>
        <w:pStyle w:val="41"/>
        <w:numPr>
          <w:ilvl w:val="1"/>
          <w:numId w:val="4"/>
        </w:numPr>
        <w:tabs>
          <w:tab w:val="left" w:pos="567"/>
        </w:tabs>
        <w:spacing w:before="180" w:after="0"/>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"https://docs.google.com/document/d/e/2PACX-1vSIe8snHAyCfJ6-8WV9YzjGl78QGO_XOFUUNEAG6fo8zhkdaI6nKOMzfbrHVuzQrlVMmxY46N7kw-sl/pub" \h </w:instrText>
      </w:r>
      <w:r>
        <w:fldChar w:fldCharType="separate"/>
      </w:r>
      <w:r>
        <w:rPr>
          <w:rStyle w:val="15"/>
          <w:rFonts w:cs="Arial"/>
          <w:szCs w:val="24"/>
        </w:rPr>
        <w:t>Definições</w:t>
      </w:r>
      <w:r>
        <w:rPr>
          <w:rStyle w:val="15"/>
          <w:rFonts w:cs="Arial"/>
          <w:szCs w:val="24"/>
        </w:rPr>
        <w:fldChar w:fldCharType="end"/>
      </w:r>
    </w:p>
    <w:p w14:paraId="25AD95D4">
      <w:pPr>
        <w:pStyle w:val="41"/>
        <w:numPr>
          <w:ilvl w:val="1"/>
          <w:numId w:val="4"/>
        </w:numPr>
        <w:tabs>
          <w:tab w:val="left" w:pos="567"/>
        </w:tabs>
        <w:spacing w:before="180" w:after="0"/>
        <w:ind w:left="0" w:firstLine="0"/>
        <w:contextualSpacing w:val="0"/>
        <w:jc w:val="both"/>
        <w:rPr>
          <w:rFonts w:cs="Arial"/>
          <w:szCs w:val="24"/>
        </w:rPr>
      </w:pPr>
      <w:r>
        <w:fldChar w:fldCharType="begin"/>
      </w:r>
      <w:r>
        <w:instrText xml:space="preserve"> HYPERLINK "https://docs.google.com/document/d/e/2PACX-1vShoYxs_mW-c6m1etgLMf-hsxUbBczX8ofjyErBYenNz5K4qUY9lhDo8S-opO7dcXethFJ8dKVgF-fL/pub" \h </w:instrText>
      </w:r>
      <w:r>
        <w:fldChar w:fldCharType="separate"/>
      </w:r>
      <w:r>
        <w:rPr>
          <w:rStyle w:val="15"/>
          <w:rFonts w:cs="Arial"/>
          <w:szCs w:val="24"/>
        </w:rPr>
        <w:t>Condições de julgamento de propostas e habilitação</w:t>
      </w:r>
      <w:r>
        <w:rPr>
          <w:rStyle w:val="15"/>
          <w:rFonts w:cs="Arial"/>
          <w:szCs w:val="24"/>
        </w:rPr>
        <w:fldChar w:fldCharType="end"/>
      </w:r>
    </w:p>
    <w:p w14:paraId="28ABEC64">
      <w:pPr>
        <w:pStyle w:val="41"/>
        <w:numPr>
          <w:ilvl w:val="1"/>
          <w:numId w:val="4"/>
        </w:numPr>
        <w:tabs>
          <w:tab w:val="left" w:pos="567"/>
        </w:tabs>
        <w:spacing w:before="180" w:after="0"/>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"https://docs.google.com/document/d/e/2PACX-1vRhfiOnbSywgErOXL3pUtKit2tDmCQEIVnLwvTjTJHz912L2l5VQcV_MYiRVmSWC-8F8sTo5XjWxbWs/pub" \h </w:instrText>
      </w:r>
      <w:r>
        <w:fldChar w:fldCharType="separate"/>
      </w:r>
      <w:r>
        <w:rPr>
          <w:rStyle w:val="15"/>
          <w:rFonts w:cs="Arial"/>
          <w:szCs w:val="24"/>
        </w:rPr>
        <w:t>Critérios de desempate</w:t>
      </w:r>
      <w:r>
        <w:rPr>
          <w:rStyle w:val="15"/>
          <w:rFonts w:cs="Arial"/>
          <w:szCs w:val="24"/>
        </w:rPr>
        <w:fldChar w:fldCharType="end"/>
      </w:r>
    </w:p>
    <w:p w14:paraId="12959CDE">
      <w:pPr>
        <w:pStyle w:val="41"/>
        <w:numPr>
          <w:ilvl w:val="1"/>
          <w:numId w:val="4"/>
        </w:numPr>
        <w:tabs>
          <w:tab w:val="left" w:pos="567"/>
        </w:tabs>
        <w:spacing w:before="180" w:after="0"/>
        <w:ind w:left="0" w:firstLine="0"/>
        <w:contextualSpacing w:val="0"/>
        <w:jc w:val="both"/>
        <w:rPr>
          <w:rFonts w:cs="Arial"/>
          <w:color w:val="000000"/>
          <w:szCs w:val="24"/>
        </w:rPr>
      </w:pPr>
      <w:r>
        <w:fldChar w:fldCharType="begin"/>
      </w:r>
      <w:r>
        <w:instrText xml:space="preserve"> HYPERLINK "https://docs.google.com/document/d/e/2PACX-1vRxUJRvxd_gS6ex4UUQJH94yQLfdS3_qn1eRdm0YQNn5zK-7IBLqJmGeVPcaIt6MpKCitLxw6UqeZWr/pub" \h </w:instrText>
      </w:r>
      <w:r>
        <w:fldChar w:fldCharType="separate"/>
      </w:r>
      <w:r>
        <w:rPr>
          <w:rStyle w:val="15"/>
          <w:rFonts w:cs="Arial"/>
          <w:szCs w:val="24"/>
        </w:rPr>
        <w:t>Negociação</w:t>
      </w:r>
      <w:r>
        <w:rPr>
          <w:rStyle w:val="15"/>
          <w:rFonts w:cs="Arial"/>
          <w:szCs w:val="24"/>
        </w:rPr>
        <w:fldChar w:fldCharType="end"/>
      </w:r>
    </w:p>
    <w:p w14:paraId="16854AB2">
      <w:pPr>
        <w:pStyle w:val="41"/>
        <w:numPr>
          <w:ilvl w:val="1"/>
          <w:numId w:val="4"/>
        </w:numPr>
        <w:tabs>
          <w:tab w:val="left" w:pos="567"/>
        </w:tabs>
        <w:spacing w:before="180" w:after="0"/>
        <w:ind w:left="0" w:firstLine="0"/>
        <w:contextualSpacing w:val="0"/>
        <w:jc w:val="both"/>
        <w:rPr>
          <w:rFonts w:cs="Arial"/>
          <w:color w:val="000000"/>
          <w:szCs w:val="24"/>
        </w:rPr>
      </w:pPr>
      <w:r>
        <w:fldChar w:fldCharType="begin"/>
      </w:r>
      <w:r>
        <w:instrText xml:space="preserve"> HYPERLINK "https://docs.google.com/document/d/e/2PACX-1vQLFbIVsjfzE2Ii4FhCO62IKYDjlRwUA2ZyVzDmIKQ7csDdY1KGoFFBfXejNSOc-wysFxr59lnf-NPN/pub" \h </w:instrText>
      </w:r>
      <w:r>
        <w:fldChar w:fldCharType="separate"/>
      </w:r>
      <w:r>
        <w:rPr>
          <w:rStyle w:val="13"/>
          <w:rFonts w:cs="Arial"/>
          <w:szCs w:val="24"/>
        </w:rPr>
        <w:t>Recursos e contrarrazões</w:t>
      </w:r>
      <w:r>
        <w:rPr>
          <w:rStyle w:val="15"/>
          <w:rFonts w:cs="Arial"/>
          <w:szCs w:val="24"/>
        </w:rPr>
        <w:fldChar w:fldCharType="end"/>
      </w:r>
    </w:p>
    <w:p w14:paraId="77058125">
      <w:pPr>
        <w:pStyle w:val="41"/>
        <w:numPr>
          <w:ilvl w:val="1"/>
          <w:numId w:val="4"/>
        </w:numPr>
        <w:tabs>
          <w:tab w:val="left" w:pos="567"/>
        </w:tabs>
        <w:spacing w:before="180" w:after="0"/>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"https://docs.google.com/document/d/e/2PACX-1vRHaNIKIbtzlG5qmekiOViMg0pWMdz8f5E8A3q7E6nRe0QZExsa7GfL5Cti5E5lhl7PZiP7PLf01z9S/pub" \h </w:instrText>
      </w:r>
      <w:r>
        <w:fldChar w:fldCharType="separate"/>
      </w:r>
      <w:r>
        <w:rPr>
          <w:rStyle w:val="15"/>
          <w:rFonts w:cs="Arial"/>
          <w:szCs w:val="24"/>
        </w:rPr>
        <w:t>Adjudicação e homologação</w:t>
      </w:r>
      <w:r>
        <w:rPr>
          <w:rStyle w:val="15"/>
          <w:rFonts w:cs="Arial"/>
          <w:szCs w:val="24"/>
        </w:rPr>
        <w:fldChar w:fldCharType="end"/>
      </w:r>
    </w:p>
    <w:p w14:paraId="222042C8">
      <w:pPr>
        <w:pStyle w:val="41"/>
        <w:numPr>
          <w:ilvl w:val="1"/>
          <w:numId w:val="4"/>
        </w:numPr>
        <w:tabs>
          <w:tab w:val="left" w:pos="567"/>
        </w:tabs>
        <w:spacing w:before="180" w:after="0"/>
        <w:ind w:left="0" w:firstLine="0"/>
        <w:contextualSpacing w:val="0"/>
        <w:jc w:val="both"/>
        <w:rPr>
          <w:rStyle w:val="29"/>
          <w:rFonts w:cs="Arial"/>
          <w:color w:val="000000"/>
          <w:szCs w:val="24"/>
          <w:u w:val="none"/>
        </w:rPr>
      </w:pPr>
      <w:r>
        <w:fldChar w:fldCharType="begin"/>
      </w:r>
      <w:r>
        <w:instrText xml:space="preserve"> HYPERLINK "https://docs.google.com/document/d/e/2PACX-1vTWJiaXlm0QBRnw4KGHhScwDh7fi1oBgUVnYce20DdEPa7Eo6bRq7o4fl9gI7JIWsMiKPlx83iI3MsI/pub" \h </w:instrText>
      </w:r>
      <w:r>
        <w:fldChar w:fldCharType="separate"/>
      </w:r>
      <w:r>
        <w:rPr>
          <w:rStyle w:val="15"/>
          <w:rFonts w:cs="Arial"/>
          <w:szCs w:val="24"/>
        </w:rPr>
        <w:t>Disposições gerais</w:t>
      </w:r>
      <w:r>
        <w:rPr>
          <w:rStyle w:val="15"/>
          <w:rFonts w:cs="Arial"/>
          <w:szCs w:val="24"/>
        </w:rPr>
        <w:fldChar w:fldCharType="end"/>
      </w:r>
    </w:p>
    <w:p w14:paraId="6DD2E7B6">
      <w:pPr>
        <w:pStyle w:val="41"/>
        <w:numPr>
          <w:ilvl w:val="1"/>
          <w:numId w:val="4"/>
        </w:numPr>
        <w:tabs>
          <w:tab w:val="left" w:pos="567"/>
        </w:tabs>
        <w:spacing w:before="180" w:after="0"/>
        <w:ind w:left="0" w:firstLine="0"/>
        <w:contextualSpacing w:val="0"/>
        <w:jc w:val="both"/>
        <w:rPr>
          <w:rFonts w:cs="Arial"/>
          <w:color w:val="000000"/>
          <w:szCs w:val="24"/>
        </w:rPr>
      </w:pPr>
      <w:r>
        <w:fldChar w:fldCharType="begin"/>
      </w:r>
      <w:r>
        <w:instrText xml:space="preserve"> HYPERLINK "https://docs.google.com/document/d/e/2PACX-1vSzf9svIQc-1FGw1B3WK6el4FtXKNLwgIOY5OtYixcHEftG6GVNI_WWkplZrWeSTaHwStBdickl9RKt/pub" \h </w:instrText>
      </w:r>
      <w:r>
        <w:fldChar w:fldCharType="separate"/>
      </w:r>
      <w:r>
        <w:rPr>
          <w:rStyle w:val="13"/>
          <w:rFonts w:cs="Arial"/>
          <w:szCs w:val="24"/>
        </w:rPr>
        <w:t>Caderno de Normas Licitatórias</w:t>
      </w:r>
      <w:r>
        <w:rPr>
          <w:rStyle w:val="15"/>
          <w:rFonts w:cs="Arial"/>
          <w:szCs w:val="24"/>
        </w:rPr>
        <w:fldChar w:fldCharType="end"/>
      </w:r>
    </w:p>
    <w:p w14:paraId="2A0CA775">
      <w:pPr>
        <w:pStyle w:val="41"/>
        <w:numPr>
          <w:ilvl w:val="1"/>
          <w:numId w:val="4"/>
        </w:numPr>
        <w:tabs>
          <w:tab w:val="left" w:pos="567"/>
          <w:tab w:val="left" w:pos="8880"/>
          <w:tab w:val="left" w:pos="9600"/>
        </w:tabs>
        <w:spacing w:before="180" w:after="0"/>
        <w:ind w:left="0" w:right="0" w:rightChars="0" w:firstLine="0"/>
        <w:contextualSpacing w:val="0"/>
        <w:jc w:val="both"/>
        <w:rPr>
          <w:rFonts w:cs="Arial"/>
          <w:szCs w:val="24"/>
        </w:rPr>
      </w:pPr>
      <w:r>
        <w:rPr>
          <w:rFonts w:cs="Arial"/>
          <w:szCs w:val="24"/>
        </w:rPr>
        <w:t xml:space="preserve">Nossos canais de atendimento: </w:t>
      </w:r>
      <w:r>
        <w:fldChar w:fldCharType="begin"/>
      </w:r>
      <w:r>
        <w:instrText xml:space="preserve"> HYPERLINK "mailto:compras@paranavai.pr.gov.br" \h </w:instrText>
      </w:r>
      <w:r>
        <w:fldChar w:fldCharType="separate"/>
      </w:r>
      <w:r>
        <w:rPr>
          <w:rFonts w:cs="Arial"/>
        </w:rPr>
        <w:t>compras@paranavai.pr.gov.br</w:t>
      </w:r>
      <w:r>
        <w:rPr>
          <w:rFonts w:cs="Arial"/>
        </w:rPr>
        <w:fldChar w:fldCharType="end"/>
      </w:r>
      <w:r>
        <w:rPr>
          <w:rFonts w:cs="Arial"/>
        </w:rPr>
        <w:t xml:space="preserve"> compras.pvai@gmail.com</w:t>
      </w:r>
      <w:r>
        <w:rPr>
          <w:rFonts w:cs="Arial"/>
          <w:szCs w:val="24"/>
        </w:rPr>
        <w:t xml:space="preserve"> / (44) 3421-2323 (das 08h00min às 11h30min e das 13h30min às 17h00min).</w:t>
      </w:r>
    </w:p>
    <w:p w14:paraId="53AAC569">
      <w:pPr>
        <w:pStyle w:val="41"/>
        <w:numPr>
          <w:ilvl w:val="1"/>
          <w:numId w:val="4"/>
        </w:numPr>
        <w:tabs>
          <w:tab w:val="left" w:pos="567"/>
          <w:tab w:val="left" w:pos="709"/>
          <w:tab w:val="left" w:pos="8880"/>
          <w:tab w:val="left" w:pos="9600"/>
        </w:tabs>
        <w:spacing w:before="180" w:after="0"/>
        <w:ind w:left="0" w:right="0" w:rightChars="0" w:firstLine="0"/>
        <w:contextualSpacing w:val="0"/>
        <w:jc w:val="both"/>
        <w:rPr>
          <w:rFonts w:cs="Arial"/>
          <w:szCs w:val="24"/>
        </w:rPr>
      </w:pPr>
      <w:r>
        <w:rPr>
          <w:rFonts w:cs="Arial"/>
          <w:szCs w:val="24"/>
        </w:rPr>
        <w:t xml:space="preserve">Onde estamos: </w:t>
      </w:r>
      <w:r>
        <w:rPr>
          <w:rFonts w:cs="Arial"/>
          <w:bCs/>
          <w:color w:val="000000"/>
        </w:rPr>
        <w:t>Rua Getúlio Vargas, nº 900, Paranavaí/PR.</w:t>
      </w:r>
    </w:p>
    <w:p w14:paraId="2FA6CEF9">
      <w:pPr>
        <w:pStyle w:val="41"/>
        <w:numPr>
          <w:ilvl w:val="1"/>
          <w:numId w:val="4"/>
        </w:numPr>
        <w:tabs>
          <w:tab w:val="left" w:pos="567"/>
          <w:tab w:val="left" w:pos="709"/>
          <w:tab w:val="left" w:pos="8880"/>
          <w:tab w:val="left" w:pos="9600"/>
        </w:tabs>
        <w:spacing w:before="180" w:after="0"/>
        <w:ind w:left="0" w:right="0" w:rightChars="0" w:firstLine="0"/>
        <w:contextualSpacing w:val="0"/>
        <w:jc w:val="both"/>
        <w:rPr>
          <w:rFonts w:cs="Arial"/>
          <w:szCs w:val="24"/>
        </w:rPr>
      </w:pPr>
      <w:r>
        <w:rPr>
          <w:rFonts w:cs="Arial"/>
          <w:szCs w:val="24"/>
        </w:rPr>
        <w:t xml:space="preserve">Quem são os responsáveis pelo certame: </w:t>
      </w:r>
      <w:r>
        <w:rPr>
          <w:rFonts w:cs="Arial"/>
          <w:szCs w:val="24"/>
          <w:lang w:val="pt-BR"/>
        </w:rPr>
        <w:t>Catiana Flor Larsen Bandolin</w:t>
      </w:r>
      <w:r>
        <w:rPr>
          <w:rFonts w:cs="Arial"/>
          <w:szCs w:val="24"/>
        </w:rPr>
        <w:t>, Pregoeira, nomeada por meio do Decreto Municipal nº 2</w:t>
      </w:r>
      <w:r>
        <w:rPr>
          <w:rFonts w:hint="default" w:cs="Arial"/>
          <w:szCs w:val="24"/>
          <w:lang w:val="pt-BR"/>
        </w:rPr>
        <w:t>7.727</w:t>
      </w:r>
      <w:r>
        <w:rPr>
          <w:rFonts w:cs="Arial"/>
          <w:szCs w:val="24"/>
        </w:rPr>
        <w:t>/202</w:t>
      </w:r>
      <w:r>
        <w:rPr>
          <w:rFonts w:hint="default" w:cs="Arial"/>
          <w:szCs w:val="24"/>
          <w:lang w:val="pt-BR"/>
        </w:rPr>
        <w:t>6</w:t>
      </w:r>
      <w:r>
        <w:rPr>
          <w:rFonts w:cs="Arial"/>
          <w:szCs w:val="24"/>
        </w:rPr>
        <w:t xml:space="preserve">.  </w:t>
      </w:r>
    </w:p>
    <w:p w14:paraId="0561C3E2">
      <w:pPr>
        <w:pStyle w:val="41"/>
        <w:numPr>
          <w:ilvl w:val="0"/>
          <w:numId w:val="0"/>
        </w:numPr>
        <w:tabs>
          <w:tab w:val="left" w:pos="8880"/>
        </w:tabs>
        <w:spacing w:before="180" w:after="0"/>
        <w:ind w:leftChars="0" w:right="0" w:rightChars="0"/>
        <w:contextualSpacing w:val="0"/>
        <w:jc w:val="both"/>
        <w:rPr>
          <w:rFonts w:cs="Arial"/>
          <w:szCs w:val="24"/>
        </w:rPr>
      </w:pPr>
      <w:r>
        <w:rPr>
          <w:rFonts w:hint="default" w:cs="Arial"/>
          <w:szCs w:val="24"/>
          <w:lang w:val="pt-BR"/>
        </w:rPr>
        <w:t>7.12.</w:t>
      </w:r>
      <w:r>
        <w:rPr>
          <w:rFonts w:cs="Arial"/>
          <w:szCs w:val="24"/>
        </w:rPr>
        <w:t xml:space="preserve">Normas de regência: Lei nº 14.133/2021 </w:t>
      </w:r>
      <w:r>
        <w:rPr>
          <w:rFonts w:hint="default" w:cs="Arial"/>
          <w:szCs w:val="24"/>
          <w:lang w:val="pt-BR"/>
        </w:rPr>
        <w:t>,</w:t>
      </w:r>
      <w:r>
        <w:rPr>
          <w:rFonts w:cs="Arial"/>
          <w:szCs w:val="24"/>
        </w:rPr>
        <w:t xml:space="preserve"> Decreto municipal nº 24.731/2023</w:t>
      </w:r>
      <w:r>
        <w:rPr>
          <w:rFonts w:hint="default" w:cs="Arial"/>
          <w:szCs w:val="24"/>
          <w:lang w:val="pt-BR"/>
        </w:rPr>
        <w:t>,  e legislações aplicáveis.</w:t>
      </w:r>
    </w:p>
    <w:p w14:paraId="1FE2BB02">
      <w:pPr>
        <w:pStyle w:val="41"/>
        <w:numPr>
          <w:ilvl w:val="0"/>
          <w:numId w:val="0"/>
        </w:numPr>
        <w:spacing w:before="180" w:after="0"/>
        <w:ind w:leftChars="0"/>
        <w:contextualSpacing w:val="0"/>
        <w:jc w:val="right"/>
      </w:pPr>
    </w:p>
    <w:p w14:paraId="0B5D2D4A">
      <w:pPr>
        <w:pStyle w:val="41"/>
        <w:numPr>
          <w:ilvl w:val="0"/>
          <w:numId w:val="0"/>
        </w:numPr>
        <w:spacing w:before="180" w:after="0"/>
        <w:ind w:leftChars="0"/>
        <w:contextualSpacing w:val="0"/>
        <w:jc w:val="right"/>
      </w:pPr>
    </w:p>
    <w:p w14:paraId="2F356200">
      <w:pPr>
        <w:pStyle w:val="41"/>
        <w:numPr>
          <w:ilvl w:val="0"/>
          <w:numId w:val="0"/>
        </w:numPr>
        <w:spacing w:before="180" w:after="0"/>
        <w:ind w:leftChars="0"/>
        <w:contextualSpacing w:val="0"/>
        <w:jc w:val="right"/>
      </w:pPr>
    </w:p>
    <w:p w14:paraId="78520A07">
      <w:pPr>
        <w:pStyle w:val="41"/>
        <w:numPr>
          <w:ilvl w:val="0"/>
          <w:numId w:val="0"/>
        </w:numPr>
        <w:spacing w:before="180" w:after="0"/>
        <w:ind w:leftChars="0"/>
        <w:contextualSpacing w:val="0"/>
        <w:jc w:val="right"/>
        <w:rPr>
          <w:rFonts w:hint="default" w:cs="Arial"/>
          <w:b w:val="0"/>
          <w:bCs w:val="0"/>
          <w:color w:val="000000" w:themeColor="text1"/>
          <w:szCs w:val="24"/>
          <w:lang w:val="pt-BR"/>
          <w14:textFill>
            <w14:solidFill>
              <w14:schemeClr w14:val="tx1"/>
            </w14:solidFill>
          </w14:textFill>
        </w:rPr>
      </w:pPr>
      <w:r>
        <w:t>Paranavaí - PR,</w:t>
      </w:r>
      <w:r>
        <w:rPr>
          <w:color w:val="00B050"/>
        </w:rPr>
        <w:t xml:space="preserve"> </w:t>
      </w:r>
      <w:sdt>
        <w:sdtPr>
          <w:id w:val="1276061628"/>
          <w:placeholder>
            <w:docPart w:val="DA8F8AEFCBEE4F109E82665009B8E50A"/>
          </w:placeholder>
          <w:date w:fullDate="2024-11-19T00:00:00Z">
            <w:dateFormat w:val="d' de 'MMMM' de 'yyyy"/>
            <w:lid w:val="pt-BR"/>
            <w:storeMappedDataAs w:val="text"/>
            <w:calendar w:val="gregorian"/>
          </w:date>
        </w:sdtPr>
        <w:sdtContent>
          <w:r>
            <w:rPr>
              <w:rFonts w:hint="default"/>
              <w:lang w:val="pt-BR"/>
            </w:rPr>
            <w:t>09</w:t>
          </w:r>
          <w:r>
            <w:t xml:space="preserve"> de </w:t>
          </w:r>
          <w:r>
            <w:rPr>
              <w:rFonts w:hint="default"/>
              <w:lang w:val="pt-BR"/>
            </w:rPr>
            <w:t xml:space="preserve">abril </w:t>
          </w:r>
          <w:r>
            <w:t>de 202</w:t>
          </w:r>
          <w:r>
            <w:rPr>
              <w:rFonts w:hint="default"/>
              <w:lang w:val="pt-BR"/>
            </w:rPr>
            <w:t>6</w:t>
          </w:r>
        </w:sdtContent>
      </w:sdt>
      <w:r>
        <w:t>.</w:t>
      </w:r>
      <w:r>
        <w:rPr>
          <w:rFonts w:cs="Arial"/>
          <w:szCs w:val="24"/>
        </w:rPr>
        <w:t xml:space="preserve">  </w:t>
      </w:r>
    </w:p>
    <w:p w14:paraId="49988E3F">
      <w:pPr>
        <w:pStyle w:val="41"/>
        <w:numPr>
          <w:ilvl w:val="0"/>
          <w:numId w:val="0"/>
        </w:numPr>
        <w:spacing w:before="180" w:after="0"/>
        <w:ind w:leftChars="0"/>
        <w:contextualSpacing w:val="0"/>
        <w:jc w:val="right"/>
        <w:rPr>
          <w:rFonts w:hint="default" w:cs="Arial"/>
          <w:b w:val="0"/>
          <w:bCs w:val="0"/>
          <w:color w:val="000000" w:themeColor="text1"/>
          <w:szCs w:val="24"/>
          <w:lang w:val="pt-BR"/>
          <w14:textFill>
            <w14:solidFill>
              <w14:schemeClr w14:val="tx1"/>
            </w14:solidFill>
          </w14:textFill>
        </w:rPr>
      </w:pPr>
    </w:p>
    <w:p w14:paraId="0AB93E8A">
      <w:pPr>
        <w:pStyle w:val="41"/>
        <w:numPr>
          <w:ilvl w:val="0"/>
          <w:numId w:val="0"/>
        </w:numPr>
        <w:spacing w:before="180" w:after="0"/>
        <w:ind w:leftChars="0"/>
        <w:contextualSpacing w:val="0"/>
        <w:jc w:val="right"/>
        <w:rPr>
          <w:rFonts w:hint="default" w:cs="Arial"/>
          <w:b w:val="0"/>
          <w:bCs w:val="0"/>
          <w:color w:val="000000" w:themeColor="text1"/>
          <w:szCs w:val="24"/>
          <w:lang w:val="pt-BR"/>
          <w14:textFill>
            <w14:solidFill>
              <w14:schemeClr w14:val="tx1"/>
            </w14:solidFill>
          </w14:textFill>
        </w:rPr>
      </w:pPr>
    </w:p>
    <w:p w14:paraId="40E1404C">
      <w:pPr>
        <w:pStyle w:val="41"/>
        <w:numPr>
          <w:ilvl w:val="0"/>
          <w:numId w:val="0"/>
        </w:numPr>
        <w:spacing w:before="180" w:after="0"/>
        <w:ind w:leftChars="0"/>
        <w:contextualSpacing w:val="0"/>
        <w:jc w:val="right"/>
        <w:rPr>
          <w:rFonts w:hint="default" w:cs="Arial"/>
          <w:b w:val="0"/>
          <w:bCs w:val="0"/>
          <w:color w:val="000000" w:themeColor="text1"/>
          <w:szCs w:val="24"/>
          <w:lang w:val="pt-BR"/>
          <w14:textFill>
            <w14:solidFill>
              <w14:schemeClr w14:val="tx1"/>
            </w14:solidFill>
          </w14:textFill>
        </w:rPr>
      </w:pPr>
    </w:p>
    <w:p w14:paraId="637CF5C2">
      <w:pPr>
        <w:pStyle w:val="41"/>
        <w:numPr>
          <w:ilvl w:val="0"/>
          <w:numId w:val="0"/>
        </w:numPr>
        <w:spacing w:before="180" w:after="0"/>
        <w:ind w:leftChars="0"/>
        <w:contextualSpacing w:val="0"/>
        <w:jc w:val="right"/>
        <w:rPr>
          <w:rFonts w:hint="default" w:cs="Arial"/>
          <w:b w:val="0"/>
          <w:bCs w:val="0"/>
          <w:color w:val="000000" w:themeColor="text1"/>
          <w:szCs w:val="24"/>
          <w:lang w:val="pt-BR"/>
          <w14:textFill>
            <w14:solidFill>
              <w14:schemeClr w14:val="tx1"/>
            </w14:solidFill>
          </w14:textFill>
        </w:rPr>
      </w:pPr>
    </w:p>
    <w:p w14:paraId="7FFDD572">
      <w:pPr>
        <w:pStyle w:val="41"/>
        <w:numPr>
          <w:ilvl w:val="0"/>
          <w:numId w:val="0"/>
        </w:numPr>
        <w:spacing w:before="180" w:after="0"/>
        <w:ind w:leftChars="0"/>
        <w:contextualSpacing w:val="0"/>
        <w:jc w:val="right"/>
        <w:rPr>
          <w:rFonts w:hint="default" w:cs="Arial"/>
          <w:b w:val="0"/>
          <w:bCs w:val="0"/>
          <w:color w:val="000000" w:themeColor="text1"/>
          <w:szCs w:val="24"/>
          <w:lang w:val="pt-BR"/>
          <w14:textFill>
            <w14:solidFill>
              <w14:schemeClr w14:val="tx1"/>
            </w14:solidFill>
          </w14:textFill>
        </w:rPr>
      </w:pPr>
    </w:p>
    <w:p w14:paraId="5495763C">
      <w:pPr>
        <w:tabs>
          <w:tab w:val="left" w:pos="8640"/>
        </w:tabs>
        <w:spacing w:before="0" w:after="0"/>
        <w:ind w:right="41" w:rightChars="17" w:firstLine="960" w:firstLineChars="400"/>
        <w:jc w:val="center"/>
        <w:rPr>
          <w:rFonts w:hint="default" w:cs="Arial"/>
          <w:b w:val="0"/>
          <w:bCs w:val="0"/>
          <w:color w:val="000000" w:themeColor="text1"/>
          <w:szCs w:val="24"/>
          <w:lang w:val="pt-BR"/>
          <w14:textFill>
            <w14:solidFill>
              <w14:schemeClr w14:val="tx1"/>
            </w14:solidFill>
          </w14:textFill>
        </w:rPr>
      </w:pPr>
      <w:r>
        <w:rPr>
          <w:rFonts w:hint="default" w:cs="Arial"/>
          <w:b w:val="0"/>
          <w:bCs w:val="0"/>
          <w:color w:val="000000" w:themeColor="text1"/>
          <w:szCs w:val="24"/>
          <w:lang w:val="pt-BR"/>
          <w14:textFill>
            <w14:solidFill>
              <w14:schemeClr w14:val="tx1"/>
            </w14:solidFill>
          </w14:textFill>
        </w:rPr>
        <w:t>Renato Dultra</w:t>
      </w:r>
    </w:p>
    <w:p w14:paraId="5816A8B4">
      <w:pPr>
        <w:tabs>
          <w:tab w:val="left" w:pos="8640"/>
        </w:tabs>
        <w:spacing w:before="0" w:after="0"/>
        <w:ind w:right="41" w:rightChars="17" w:firstLine="1800" w:firstLineChars="750"/>
        <w:rPr>
          <w:rFonts w:hint="default" w:cs="Arial"/>
          <w:b/>
          <w:bCs/>
          <w:color w:val="000000" w:themeColor="text1"/>
          <w:szCs w:val="24"/>
          <w:lang w:val="pt-BR"/>
          <w14:textFill>
            <w14:solidFill>
              <w14:schemeClr w14:val="tx1"/>
            </w14:solidFill>
          </w14:textFill>
        </w:rPr>
      </w:pPr>
      <w:r>
        <w:rPr>
          <w:rFonts w:hint="default" w:ascii="Arial" w:hAnsi="Arial" w:cs="Arial"/>
          <w:i w:val="0"/>
          <w:iCs w:val="0"/>
          <w:color w:val="auto"/>
        </w:rPr>
        <w:t>Secretário</w:t>
      </w:r>
      <w:r>
        <w:rPr>
          <w:rFonts w:hint="default" w:ascii="Arial" w:hAnsi="Arial" w:cs="Arial"/>
          <w:i w:val="0"/>
          <w:iCs w:val="0"/>
          <w:color w:val="auto"/>
          <w:spacing w:val="-2"/>
        </w:rPr>
        <w:t xml:space="preserve"> </w:t>
      </w:r>
      <w:r>
        <w:rPr>
          <w:rFonts w:hint="default" w:ascii="Arial" w:hAnsi="Arial" w:cs="Arial"/>
          <w:i w:val="0"/>
          <w:iCs w:val="0"/>
          <w:color w:val="auto"/>
        </w:rPr>
        <w:t>Municipal</w:t>
      </w:r>
      <w:r>
        <w:rPr>
          <w:rFonts w:hint="default" w:ascii="Arial" w:hAnsi="Arial" w:cs="Arial"/>
          <w:i w:val="0"/>
          <w:iCs w:val="0"/>
          <w:color w:val="auto"/>
          <w:spacing w:val="-6"/>
        </w:rPr>
        <w:t xml:space="preserve"> </w:t>
      </w:r>
      <w:r>
        <w:rPr>
          <w:rFonts w:hint="default" w:ascii="Arial" w:hAnsi="Arial" w:cs="Arial"/>
          <w:i w:val="0"/>
          <w:iCs w:val="0"/>
          <w:color w:val="auto"/>
        </w:rPr>
        <w:t>de</w:t>
      </w:r>
      <w:r>
        <w:rPr>
          <w:rFonts w:hint="default" w:ascii="Arial" w:hAnsi="Arial" w:cs="Arial"/>
          <w:i w:val="0"/>
          <w:iCs w:val="0"/>
          <w:color w:val="auto"/>
          <w:spacing w:val="-4"/>
        </w:rPr>
        <w:t xml:space="preserve"> </w:t>
      </w:r>
      <w:r>
        <w:rPr>
          <w:rFonts w:hint="default" w:cs="Arial"/>
          <w:i w:val="0"/>
          <w:iCs w:val="0"/>
          <w:color w:val="auto"/>
          <w:lang w:val="pt-BR"/>
        </w:rPr>
        <w:t>Infraestrutura e Serviços Públicos</w:t>
      </w:r>
    </w:p>
    <w:p w14:paraId="48E7EC11">
      <w:pPr>
        <w:spacing w:before="0" w:after="0"/>
        <w:jc w:val="center"/>
        <w:rPr>
          <w:rFonts w:hint="default" w:cs="Arial"/>
          <w:b/>
          <w:bCs/>
          <w:szCs w:val="24"/>
          <w:lang w:val="pt-BR"/>
        </w:rPr>
      </w:pPr>
    </w:p>
    <w:p w14:paraId="0ACDD089">
      <w:pPr>
        <w:spacing w:before="0" w:after="0"/>
        <w:jc w:val="center"/>
        <w:rPr>
          <w:rFonts w:hint="default" w:cs="Arial"/>
          <w:b/>
          <w:bCs/>
          <w:szCs w:val="24"/>
          <w:lang w:val="pt-BR"/>
        </w:rPr>
      </w:pPr>
    </w:p>
    <w:p w14:paraId="5B4EB804">
      <w:pPr>
        <w:spacing w:before="0" w:after="0"/>
        <w:jc w:val="center"/>
        <w:rPr>
          <w:rFonts w:hint="default" w:cs="Arial"/>
          <w:b/>
          <w:bCs/>
          <w:szCs w:val="24"/>
          <w:lang w:val="pt-BR"/>
        </w:rPr>
      </w:pPr>
    </w:p>
    <w:p w14:paraId="7C1EB028">
      <w:pPr>
        <w:spacing w:before="0" w:after="0"/>
        <w:jc w:val="center"/>
        <w:rPr>
          <w:rFonts w:hint="default" w:cs="Arial"/>
          <w:b/>
          <w:bCs/>
          <w:szCs w:val="24"/>
          <w:lang w:val="pt-BR"/>
        </w:rPr>
      </w:pPr>
    </w:p>
    <w:p w14:paraId="5961D08A">
      <w:pPr>
        <w:spacing w:before="0" w:after="0"/>
        <w:jc w:val="center"/>
        <w:rPr>
          <w:rFonts w:hint="default" w:cs="Arial"/>
          <w:b/>
          <w:bCs/>
          <w:szCs w:val="24"/>
          <w:lang w:val="pt-BR"/>
        </w:rPr>
      </w:pPr>
    </w:p>
    <w:p w14:paraId="1B532E5F">
      <w:pPr>
        <w:spacing w:before="0" w:after="0"/>
        <w:jc w:val="center"/>
        <w:rPr>
          <w:rFonts w:hint="default" w:cs="Arial"/>
          <w:b/>
          <w:bCs/>
          <w:szCs w:val="24"/>
          <w:lang w:val="pt-BR"/>
        </w:rPr>
      </w:pPr>
    </w:p>
    <w:p w14:paraId="5D38A1BA">
      <w:pPr>
        <w:spacing w:before="0" w:after="0"/>
        <w:jc w:val="center"/>
        <w:rPr>
          <w:rFonts w:hint="default" w:cs="Arial"/>
          <w:b/>
          <w:bCs/>
          <w:szCs w:val="24"/>
          <w:lang w:val="pt-BR"/>
        </w:rPr>
      </w:pPr>
    </w:p>
    <w:p w14:paraId="63951EEA">
      <w:pPr>
        <w:spacing w:before="0" w:after="0"/>
        <w:jc w:val="center"/>
        <w:rPr>
          <w:rFonts w:hint="default" w:cs="Arial"/>
          <w:b/>
          <w:bCs/>
          <w:szCs w:val="24"/>
          <w:lang w:val="pt-BR"/>
        </w:rPr>
      </w:pPr>
    </w:p>
    <w:p w14:paraId="3F91EDBA">
      <w:pPr>
        <w:spacing w:before="0" w:after="0"/>
        <w:jc w:val="center"/>
        <w:rPr>
          <w:rFonts w:hint="default" w:cs="Arial"/>
          <w:b/>
          <w:bCs/>
          <w:szCs w:val="24"/>
          <w:lang w:val="pt-BR"/>
        </w:rPr>
      </w:pPr>
    </w:p>
    <w:p w14:paraId="4846A103">
      <w:pPr>
        <w:spacing w:before="0" w:after="0"/>
        <w:jc w:val="center"/>
        <w:rPr>
          <w:rFonts w:hint="default" w:cs="Arial"/>
          <w:b/>
          <w:bCs/>
          <w:szCs w:val="24"/>
          <w:lang w:val="pt-BR"/>
        </w:rPr>
      </w:pPr>
    </w:p>
    <w:p w14:paraId="08BB4F91">
      <w:pPr>
        <w:spacing w:before="0" w:after="0"/>
        <w:jc w:val="center"/>
        <w:rPr>
          <w:rFonts w:hint="default" w:cs="Arial"/>
          <w:b/>
          <w:bCs/>
          <w:szCs w:val="24"/>
          <w:lang w:val="pt-BR"/>
        </w:rPr>
      </w:pPr>
    </w:p>
    <w:p w14:paraId="7A2A6720">
      <w:pPr>
        <w:spacing w:before="0" w:after="0"/>
        <w:jc w:val="center"/>
        <w:rPr>
          <w:rFonts w:hint="default" w:cs="Arial"/>
          <w:b/>
          <w:bCs/>
          <w:szCs w:val="24"/>
          <w:lang w:val="pt-BR"/>
        </w:rPr>
      </w:pPr>
    </w:p>
    <w:p w14:paraId="11AD151D">
      <w:pPr>
        <w:spacing w:before="0" w:after="0"/>
        <w:jc w:val="center"/>
        <w:rPr>
          <w:rFonts w:hint="default" w:cs="Arial"/>
          <w:b/>
          <w:bCs/>
          <w:szCs w:val="24"/>
          <w:lang w:val="pt-BR"/>
        </w:rPr>
      </w:pPr>
    </w:p>
    <w:p w14:paraId="6DBF5535">
      <w:pPr>
        <w:spacing w:before="0" w:after="0"/>
        <w:jc w:val="center"/>
        <w:rPr>
          <w:rFonts w:hint="default" w:cs="Arial"/>
          <w:b/>
          <w:bCs/>
          <w:szCs w:val="24"/>
          <w:lang w:val="pt-BR"/>
        </w:rPr>
      </w:pPr>
    </w:p>
    <w:p w14:paraId="378C13AE">
      <w:pPr>
        <w:spacing w:before="0" w:after="0"/>
        <w:jc w:val="center"/>
        <w:rPr>
          <w:rFonts w:hint="default" w:cs="Arial"/>
          <w:b/>
          <w:bCs/>
          <w:szCs w:val="24"/>
          <w:lang w:val="pt-BR"/>
        </w:rPr>
      </w:pPr>
    </w:p>
    <w:p w14:paraId="081DBCDF">
      <w:pPr>
        <w:spacing w:before="0" w:after="0"/>
        <w:jc w:val="center"/>
        <w:rPr>
          <w:rFonts w:hint="default" w:cs="Arial"/>
          <w:b/>
          <w:bCs/>
          <w:szCs w:val="24"/>
          <w:lang w:val="pt-BR"/>
        </w:rPr>
      </w:pPr>
    </w:p>
    <w:p w14:paraId="3FC919F4">
      <w:pPr>
        <w:spacing w:before="0" w:after="0"/>
        <w:jc w:val="center"/>
        <w:rPr>
          <w:rFonts w:hint="default" w:cs="Arial"/>
          <w:b/>
          <w:bCs/>
          <w:szCs w:val="24"/>
          <w:lang w:val="pt-BR"/>
        </w:rPr>
      </w:pPr>
    </w:p>
    <w:p w14:paraId="1C36691E">
      <w:pPr>
        <w:spacing w:before="0" w:after="0"/>
        <w:jc w:val="center"/>
        <w:rPr>
          <w:rFonts w:hint="default" w:cs="Arial"/>
          <w:b/>
          <w:bCs/>
          <w:szCs w:val="24"/>
          <w:lang w:val="pt-BR"/>
        </w:rPr>
      </w:pPr>
      <w:r>
        <w:rPr>
          <w:rFonts w:hint="default" w:cs="Arial"/>
          <w:b/>
          <w:bCs/>
          <w:szCs w:val="24"/>
          <w:lang w:val="pt-BR"/>
        </w:rPr>
        <w:t xml:space="preserve"> </w:t>
      </w:r>
      <w:r>
        <w:rPr>
          <w:rFonts w:cs="Arial"/>
          <w:b/>
          <w:bCs/>
          <w:szCs w:val="24"/>
        </w:rPr>
        <w:t>EDITAL D</w:t>
      </w:r>
      <w:r>
        <w:rPr>
          <w:rFonts w:hint="default" w:cs="Arial"/>
          <w:b/>
          <w:bCs/>
          <w:szCs w:val="24"/>
          <w:lang w:val="pt-BR"/>
        </w:rPr>
        <w:t>E</w:t>
      </w:r>
      <w:r>
        <w:rPr>
          <w:rFonts w:cs="Arial"/>
          <w:b/>
          <w:bCs/>
          <w:szCs w:val="24"/>
        </w:rPr>
        <w:t xml:space="preserve"> </w:t>
      </w:r>
      <w:sdt>
        <w:sdtPr>
          <w:alias w:val="Edital"/>
          <w:tag w:val="Edital"/>
          <w:id w:val="-1038746390"/>
          <w:placeholder>
            <w:docPart w:val="370553E1A03B4A25B10ED39CC0EA9C3B"/>
          </w:placeholder>
          <w:comboBox>
            <w:listItem w:displayText="CLIQUE PARA ESCOLHER UMA OPÇÃO" w:value="CLIQUE PARA ESCOLHER UMA OPÇÃO"/>
            <w:listItem w:displayText="LICITAÇÃO" w:value="LICITAÇÃO"/>
            <w:listItem w:displayText="DISPENSA ELETRÔNICA" w:value="DISPENSA ELETRÔNICA"/>
          </w:comboBox>
        </w:sdtPr>
        <w:sdtContent>
          <w:r>
            <w:rPr>
              <w:rFonts w:cs="Arial"/>
              <w:b/>
              <w:bCs/>
              <w:szCs w:val="24"/>
            </w:rPr>
            <w:t>LICITAÇÃO</w:t>
          </w:r>
        </w:sdtContent>
      </w:sdt>
      <w:r>
        <w:rPr>
          <w:rFonts w:cs="Arial"/>
          <w:b/>
          <w:bCs/>
          <w:szCs w:val="24"/>
        </w:rPr>
        <w:t xml:space="preserve"> Nº </w:t>
      </w:r>
      <w:r>
        <w:rPr>
          <w:rFonts w:hint="default" w:cs="Arial"/>
          <w:b/>
          <w:bCs/>
          <w:szCs w:val="24"/>
          <w:lang w:val="pt-BR"/>
        </w:rPr>
        <w:t>012</w:t>
      </w:r>
      <w:r>
        <w:rPr>
          <w:rFonts w:cs="Arial"/>
          <w:b/>
          <w:bCs/>
          <w:szCs w:val="24"/>
        </w:rPr>
        <w:t>/202</w:t>
      </w:r>
      <w:r>
        <w:rPr>
          <w:rFonts w:hint="default" w:cs="Arial"/>
          <w:b/>
          <w:bCs/>
          <w:szCs w:val="24"/>
          <w:lang w:val="pt-BR"/>
        </w:rPr>
        <w:t>6</w:t>
      </w:r>
      <w:r>
        <w:rPr>
          <w:rFonts w:cs="Arial"/>
          <w:b/>
          <w:bCs/>
          <w:szCs w:val="24"/>
        </w:rPr>
        <w:t xml:space="preserve"> </w:t>
      </w:r>
      <w:r>
        <w:rPr>
          <w:rFonts w:hint="default" w:cs="Arial"/>
          <w:b/>
          <w:bCs/>
          <w:szCs w:val="24"/>
          <w:lang w:val="pt-BR"/>
        </w:rPr>
        <w:t xml:space="preserve"> - RETIFICADO</w:t>
      </w:r>
    </w:p>
    <w:p w14:paraId="39ED2A0F">
      <w:pPr>
        <w:spacing w:line="288" w:lineRule="auto"/>
        <w:jc w:val="center"/>
        <w:rPr>
          <w:b/>
          <w:bCs/>
        </w:rPr>
      </w:pPr>
      <w:r>
        <w:rPr>
          <w:b/>
          <w:bCs/>
        </w:rPr>
        <w:t>ANEXO I</w:t>
      </w:r>
    </w:p>
    <w:p w14:paraId="3012666A">
      <w:pPr>
        <w:spacing w:before="0" w:after="480" w:line="288" w:lineRule="auto"/>
        <w:ind w:right="1034"/>
        <w:jc w:val="center"/>
        <w:rPr>
          <w:b/>
          <w:bCs/>
        </w:rPr>
      </w:pPr>
      <w:r>
        <w:rPr>
          <w:rFonts w:hint="default"/>
          <w:b/>
          <w:bCs/>
          <w:lang w:val="pt-BR"/>
        </w:rPr>
        <w:t xml:space="preserve">             </w:t>
      </w:r>
      <w:r>
        <w:rPr>
          <w:b/>
          <w:bCs/>
        </w:rPr>
        <w:t>ESPECIFICAÇÕES DO OBJETO</w:t>
      </w:r>
    </w:p>
    <w:p w14:paraId="6514A8C7">
      <w:pPr>
        <w:pStyle w:val="117"/>
        <w:numPr>
          <w:ilvl w:val="0"/>
          <w:numId w:val="12"/>
        </w:numPr>
        <w:ind w:left="360" w:right="0" w:rightChars="0" w:hanging="360"/>
      </w:pPr>
      <w:r>
        <w:t>DEFINIÇÃO DO OBJETO</w:t>
      </w:r>
    </w:p>
    <w:p w14:paraId="7FA4CF08">
      <w:pPr>
        <w:widowControl w:val="0"/>
        <w:numPr>
          <w:ilvl w:val="1"/>
          <w:numId w:val="12"/>
        </w:numPr>
        <w:spacing w:before="0" w:after="0" w:line="240" w:lineRule="auto"/>
        <w:ind w:left="0" w:right="0" w:rightChars="0" w:firstLine="0"/>
        <w:jc w:val="both"/>
      </w:pPr>
      <w:r>
        <w:t xml:space="preserve">Registro de preços para aquisição futura e parcelada de Massa asfáltica usinada a quente (CBUQ) para aplicação à frio, a serem utilizados em execução de reparações </w:t>
      </w:r>
      <w:r>
        <w:rPr>
          <w:spacing w:val="-2"/>
        </w:rPr>
        <w:t>asfálticas.</w:t>
      </w:r>
    </w:p>
    <w:p w14:paraId="6F8FF074">
      <w:pPr>
        <w:pStyle w:val="117"/>
        <w:numPr>
          <w:ilvl w:val="0"/>
          <w:numId w:val="12"/>
        </w:numPr>
        <w:ind w:left="360" w:right="0" w:rightChars="0" w:hanging="360"/>
      </w:pPr>
      <w:r>
        <w:t>DESCRIÇÃO DA SOLUÇÃO E REQUISITOS DA CONTRATAÇÃO</w:t>
      </w:r>
      <w:r>
        <w:rPr>
          <w:b w:val="0"/>
          <w:bCs/>
        </w:rPr>
        <w:t xml:space="preserve">  </w:t>
      </w:r>
    </w:p>
    <w:p w14:paraId="5E26FA8E">
      <w:pPr>
        <w:pStyle w:val="58"/>
        <w:numPr>
          <w:ilvl w:val="1"/>
          <w:numId w:val="12"/>
        </w:numPr>
        <w:ind w:left="567" w:right="0" w:rightChars="0" w:hanging="567"/>
      </w:pPr>
      <w:r>
        <w:t>Especificação e quantidades da solução:</w:t>
      </w:r>
      <w:bookmarkStart w:id="7" w:name="_Hlk115708684"/>
      <w:r>
        <w:rPr>
          <w:b w:val="0"/>
          <w:bCs w:val="0"/>
        </w:rPr>
        <w:t xml:space="preserve"> </w:t>
      </w:r>
      <w:bookmarkEnd w:id="7"/>
      <w:r>
        <w:rPr>
          <w:b w:val="0"/>
          <w:bCs w:val="0"/>
        </w:rPr>
        <w:t xml:space="preserve"> </w:t>
      </w:r>
    </w:p>
    <w:p w14:paraId="3D0BC45F">
      <w:pPr>
        <w:numPr>
          <w:ilvl w:val="2"/>
          <w:numId w:val="12"/>
        </w:numPr>
        <w:spacing w:before="240" w:after="240" w:line="288" w:lineRule="auto"/>
        <w:ind w:left="0" w:leftChars="0" w:right="0" w:rightChars="0" w:firstLine="0" w:firstLineChars="0"/>
        <w:jc w:val="both"/>
        <w:rPr>
          <w:lang w:val="pt-BR"/>
        </w:rPr>
      </w:pPr>
      <w:r>
        <w:t xml:space="preserve">As quantidades estimadas estão descritas abaixo conforme tabela e informativo no </w:t>
      </w:r>
      <w:r>
        <w:rPr>
          <w:lang w:val="pt-BR"/>
        </w:rPr>
        <w:t xml:space="preserve"> Termo de Referência.</w:t>
      </w:r>
    </w:p>
    <w:tbl>
      <w:tblPr>
        <w:tblStyle w:val="10"/>
        <w:tblpPr w:leftFromText="180" w:rightFromText="180" w:vertAnchor="text" w:horzAnchor="page" w:tblpX="1298" w:tblpY="491"/>
        <w:tblOverlap w:val="never"/>
        <w:tblW w:w="91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8"/>
        <w:gridCol w:w="3700"/>
        <w:gridCol w:w="1124"/>
        <w:gridCol w:w="1090"/>
        <w:gridCol w:w="1348"/>
        <w:gridCol w:w="1275"/>
      </w:tblGrid>
      <w:tr w14:paraId="0422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638"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2AE155CE">
            <w:pPr>
              <w:bidi w:val="0"/>
              <w:jc w:val="center"/>
              <w:rPr>
                <w:rFonts w:ascii="Arial" w:hAnsi="Arial" w:eastAsia="Arial" w:cs="Arial"/>
                <w:b/>
                <w:color w:val="000000"/>
                <w:spacing w:val="0"/>
                <w:sz w:val="16"/>
                <w:szCs w:val="16"/>
              </w:rPr>
            </w:pPr>
            <w:r>
              <w:rPr>
                <w:rFonts w:ascii="Arial" w:hAnsi="Arial" w:eastAsia="Arial" w:cs="Arial"/>
                <w:b/>
                <w:color w:val="000000"/>
                <w:spacing w:val="0"/>
                <w:sz w:val="16"/>
                <w:szCs w:val="16"/>
              </w:rPr>
              <w:t>Item</w:t>
            </w:r>
          </w:p>
        </w:tc>
        <w:tc>
          <w:tcPr>
            <w:tcW w:w="3700"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tcPr>
          <w:p w14:paraId="2FA13BC1">
            <w:pPr>
              <w:bidi w:val="0"/>
              <w:ind w:firstLine="240" w:firstLineChars="150"/>
              <w:jc w:val="center"/>
              <w:rPr>
                <w:rFonts w:ascii="Arial" w:hAnsi="Arial" w:eastAsia="Arial" w:cs="Arial"/>
                <w:b/>
                <w:color w:val="000000"/>
                <w:spacing w:val="0"/>
                <w:sz w:val="16"/>
                <w:szCs w:val="16"/>
              </w:rPr>
            </w:pPr>
            <w:r>
              <w:rPr>
                <w:rFonts w:ascii="Arial" w:hAnsi="Arial" w:eastAsia="Arial" w:cs="Arial"/>
                <w:b/>
                <w:color w:val="000000"/>
                <w:spacing w:val="0"/>
                <w:sz w:val="16"/>
                <w:szCs w:val="16"/>
              </w:rPr>
              <w:t>Descrição</w:t>
            </w:r>
          </w:p>
        </w:tc>
        <w:tc>
          <w:tcPr>
            <w:tcW w:w="1124"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tcPr>
          <w:p w14:paraId="7CB8B872">
            <w:pPr>
              <w:bidi w:val="0"/>
              <w:jc w:val="center"/>
              <w:rPr>
                <w:rFonts w:ascii="Arial" w:hAnsi="Arial" w:eastAsia="Arial" w:cs="Arial"/>
                <w:b/>
                <w:color w:val="000000"/>
                <w:spacing w:val="0"/>
                <w:sz w:val="16"/>
                <w:szCs w:val="16"/>
              </w:rPr>
            </w:pPr>
            <w:r>
              <w:rPr>
                <w:rFonts w:ascii="Arial" w:hAnsi="Arial" w:eastAsia="Arial" w:cs="Arial"/>
                <w:b/>
                <w:color w:val="000000"/>
                <w:spacing w:val="0"/>
                <w:sz w:val="16"/>
                <w:szCs w:val="16"/>
              </w:rPr>
              <w:t>Unidade</w:t>
            </w:r>
          </w:p>
        </w:tc>
        <w:tc>
          <w:tcPr>
            <w:tcW w:w="1090"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5B54AD22">
            <w:pPr>
              <w:bidi w:val="0"/>
              <w:jc w:val="center"/>
              <w:rPr>
                <w:rFonts w:hint="default" w:ascii="Arial" w:hAnsi="Arial" w:eastAsia="Arial" w:cs="Arial"/>
                <w:b/>
                <w:color w:val="000000"/>
                <w:spacing w:val="0"/>
                <w:sz w:val="16"/>
                <w:szCs w:val="16"/>
                <w:lang w:val="pt-BR"/>
              </w:rPr>
            </w:pPr>
            <w:r>
              <w:rPr>
                <w:rFonts w:ascii="Arial" w:hAnsi="Arial" w:eastAsia="Arial" w:cs="Arial"/>
                <w:b/>
                <w:color w:val="000000"/>
                <w:spacing w:val="0"/>
                <w:sz w:val="16"/>
                <w:szCs w:val="16"/>
              </w:rPr>
              <w:t xml:space="preserve">Quantidade  </w:t>
            </w:r>
            <w:r>
              <w:rPr>
                <w:rFonts w:hint="default" w:eastAsia="Arial" w:cs="Arial"/>
                <w:b/>
                <w:color w:val="000000"/>
                <w:spacing w:val="0"/>
                <w:sz w:val="16"/>
                <w:szCs w:val="16"/>
                <w:lang w:val="pt-BR"/>
              </w:rPr>
              <w:t>Estimada</w:t>
            </w:r>
          </w:p>
        </w:tc>
        <w:tc>
          <w:tcPr>
            <w:tcW w:w="1348"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5CBC9A42">
            <w:pPr>
              <w:wordWrap/>
              <w:bidi w:val="0"/>
              <w:jc w:val="center"/>
              <w:rPr>
                <w:rFonts w:ascii="Arial" w:hAnsi="Arial" w:eastAsia="Arial" w:cs="Arial"/>
                <w:b/>
                <w:color w:val="000000"/>
                <w:spacing w:val="0"/>
                <w:sz w:val="16"/>
                <w:szCs w:val="16"/>
              </w:rPr>
            </w:pPr>
            <w:r>
              <w:rPr>
                <w:rFonts w:hint="default" w:eastAsia="Arial" w:cs="Arial"/>
                <w:b/>
                <w:color w:val="000000"/>
                <w:spacing w:val="0"/>
                <w:sz w:val="16"/>
                <w:szCs w:val="16"/>
                <w:lang w:val="pt-BR"/>
              </w:rPr>
              <w:t xml:space="preserve">Valor </w:t>
            </w:r>
            <w:r>
              <w:rPr>
                <w:rFonts w:ascii="Arial" w:hAnsi="Arial" w:eastAsia="Arial" w:cs="Arial"/>
                <w:b/>
                <w:color w:val="000000"/>
                <w:spacing w:val="0"/>
                <w:sz w:val="16"/>
                <w:szCs w:val="16"/>
              </w:rPr>
              <w:t xml:space="preserve"> Total</w:t>
            </w:r>
          </w:p>
          <w:p w14:paraId="1BD651EC">
            <w:pPr>
              <w:wordWrap/>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Estimado</w:t>
            </w:r>
          </w:p>
        </w:tc>
        <w:tc>
          <w:tcPr>
            <w:tcW w:w="1275"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6E3754A9">
            <w:pPr>
              <w:wordWrap/>
              <w:bidi w:val="0"/>
              <w:jc w:val="center"/>
              <w:rPr>
                <w:rFonts w:hint="default" w:eastAsia="Arial" w:cs="Arial"/>
                <w:b/>
                <w:color w:val="000000"/>
                <w:spacing w:val="0"/>
                <w:sz w:val="16"/>
                <w:szCs w:val="16"/>
                <w:lang w:val="pt-BR"/>
              </w:rPr>
            </w:pPr>
            <w:r>
              <w:rPr>
                <w:rFonts w:hint="default" w:eastAsia="Arial" w:cs="Arial"/>
                <w:b/>
                <w:color w:val="000000"/>
                <w:spacing w:val="0"/>
                <w:sz w:val="16"/>
                <w:szCs w:val="16"/>
                <w:lang w:val="pt-BR"/>
              </w:rPr>
              <w:t>Valor</w:t>
            </w:r>
            <w:r>
              <w:rPr>
                <w:rFonts w:ascii="Arial" w:hAnsi="Arial" w:eastAsia="Arial" w:cs="Arial"/>
                <w:b/>
                <w:color w:val="000000"/>
                <w:spacing w:val="0"/>
                <w:sz w:val="16"/>
                <w:szCs w:val="16"/>
              </w:rPr>
              <w:t xml:space="preserve"> Unitária</w:t>
            </w:r>
          </w:p>
          <w:p w14:paraId="0526E66F">
            <w:pPr>
              <w:wordWrap/>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Estimado</w:t>
            </w:r>
          </w:p>
        </w:tc>
      </w:tr>
      <w:tr w14:paraId="5A825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5" w:type="dxa"/>
            <w:gridSpan w:val="6"/>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vAlign w:val="top"/>
          </w:tcPr>
          <w:p w14:paraId="6EA51F0C">
            <w:pPr>
              <w:bidi w:val="0"/>
              <w:jc w:val="center"/>
              <w:rPr>
                <w:rFonts w:hint="default" w:eastAsia="Arial" w:cs="Arial"/>
                <w:color w:val="000000"/>
                <w:spacing w:val="0"/>
                <w:kern w:val="0"/>
                <w:sz w:val="16"/>
                <w:szCs w:val="16"/>
                <w:lang w:val="pt-BR" w:eastAsia="en-US" w:bidi="ar-SA"/>
              </w:rPr>
            </w:pPr>
            <w:r>
              <w:rPr>
                <w:rFonts w:hint="default" w:eastAsia="Arial" w:cs="Arial"/>
                <w:b/>
                <w:bCs/>
                <w:color w:val="000000"/>
                <w:spacing w:val="0"/>
                <w:kern w:val="0"/>
                <w:sz w:val="18"/>
                <w:szCs w:val="18"/>
                <w:lang w:val="pt-BR" w:eastAsia="en-US" w:bidi="ar-SA"/>
              </w:rPr>
              <w:t>AMPLA CONCORRÊNCIA</w:t>
            </w:r>
          </w:p>
        </w:tc>
      </w:tr>
      <w:tr w14:paraId="5DC34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5B4D5344">
            <w:pPr>
              <w:bidi w:val="0"/>
              <w:jc w:val="center"/>
              <w:rPr>
                <w:rFonts w:ascii="Arial" w:hAnsi="Arial" w:eastAsia="Arial" w:cs="Arial"/>
                <w:color w:val="000000"/>
                <w:spacing w:val="0"/>
                <w:kern w:val="0"/>
                <w:sz w:val="16"/>
                <w:szCs w:val="16"/>
                <w:lang w:val="pt-BR" w:eastAsia="en-US" w:bidi="ar-SA"/>
              </w:rPr>
            </w:pPr>
            <w:r>
              <w:rPr>
                <w:rFonts w:ascii="Arial" w:hAnsi="Arial" w:eastAsia="Arial" w:cs="Arial"/>
                <w:color w:val="000000"/>
                <w:spacing w:val="0"/>
                <w:sz w:val="16"/>
                <w:szCs w:val="16"/>
              </w:rPr>
              <w:t>1</w:t>
            </w:r>
          </w:p>
        </w:tc>
        <w:tc>
          <w:tcPr>
            <w:tcW w:w="370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54F1EF14">
            <w:pPr>
              <w:bidi w:val="0"/>
              <w:jc w:val="both"/>
              <w:rPr>
                <w:rFonts w:hint="default" w:ascii="Arial" w:hAnsi="Arial" w:eastAsia="Arial" w:cs="Arial"/>
                <w:color w:val="000000"/>
                <w:spacing w:val="0"/>
                <w:kern w:val="0"/>
                <w:sz w:val="16"/>
                <w:szCs w:val="16"/>
                <w:lang w:val="pt-BR" w:eastAsia="en-US" w:bidi="ar-SA"/>
              </w:rPr>
            </w:pPr>
            <w:r>
              <w:rPr>
                <w:rFonts w:ascii="Arial" w:hAnsi="Arial" w:eastAsia="Arial" w:cs="Arial"/>
                <w:color w:val="000000"/>
                <w:spacing w:val="0"/>
                <w:sz w:val="16"/>
                <w:szCs w:val="16"/>
              </w:rPr>
              <w:t>Massa asfáltica Usinada a Quente (CBUQ) para aplicação à frio, usinado com temperatura aproximada de 120º C, preparado com agregados pétreos CAP 50/70, teor de betume,  mínimo, entre 5,3% à 6,2%, modificado por polímero, pó de borracha, retardador de cura, recuperação elástica, mínima, entre 87% à 98% com processo de mistura não-emulsionados com no mínimo 25% de aditivo retardador de cura de para aplicação a frio, com granulometria não inferior a 97% na peneira 3/8, acondicionados em sacos de 25 quilos resistentes ao armazenamento/ estocagem mínima</w:t>
            </w:r>
            <w:r>
              <w:rPr>
                <w:rFonts w:ascii="Arial" w:hAnsi="Arial" w:eastAsia="Arial" w:cs="Arial"/>
                <w:color w:val="000000"/>
                <w:spacing w:val="0"/>
                <w:sz w:val="16"/>
                <w:szCs w:val="16"/>
              </w:rPr>
              <w:br w:type="textWrapping"/>
            </w:r>
            <w:r>
              <w:rPr>
                <w:rFonts w:ascii="Arial" w:hAnsi="Arial" w:eastAsia="Arial" w:cs="Arial"/>
                <w:color w:val="000000"/>
                <w:spacing w:val="0"/>
                <w:sz w:val="16"/>
                <w:szCs w:val="16"/>
              </w:rPr>
              <w:t>de 12 meses.</w:t>
            </w:r>
            <w:r>
              <w:rPr>
                <w:rFonts w:hint="default" w:eastAsia="Arial" w:cs="Arial"/>
                <w:color w:val="000000"/>
                <w:spacing w:val="0"/>
                <w:sz w:val="16"/>
                <w:szCs w:val="16"/>
                <w:lang w:val="pt-BR"/>
              </w:rPr>
              <w:t xml:space="preserve"> CATMAT 621564</w:t>
            </w:r>
          </w:p>
        </w:tc>
        <w:tc>
          <w:tcPr>
            <w:tcW w:w="1124"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33C602F4">
            <w:pPr>
              <w:bidi w:val="0"/>
              <w:jc w:val="center"/>
              <w:rPr>
                <w:rFonts w:hint="default" w:ascii="Arial" w:hAnsi="Arial"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Saco</w:t>
            </w:r>
          </w:p>
        </w:tc>
        <w:tc>
          <w:tcPr>
            <w:tcW w:w="109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62A6737E">
            <w:pPr>
              <w:bidi w:val="0"/>
              <w:jc w:val="center"/>
              <w:rPr>
                <w:rFonts w:hint="default" w:ascii="Arial" w:hAnsi="Arial"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15.000</w:t>
            </w:r>
          </w:p>
        </w:tc>
        <w:tc>
          <w:tcPr>
            <w:tcW w:w="134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4010A95C">
            <w:pPr>
              <w:bidi w:val="0"/>
              <w:jc w:val="center"/>
              <w:rPr>
                <w:rFonts w:hint="default" w:ascii="Arial" w:hAnsi="Arial"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512.100,00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65B9157E">
            <w:pPr>
              <w:bidi w:val="0"/>
              <w:jc w:val="center"/>
              <w:rPr>
                <w:rFonts w:hint="default" w:ascii="Arial" w:hAnsi="Arial"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34,14</w:t>
            </w:r>
          </w:p>
        </w:tc>
      </w:tr>
      <w:tr w14:paraId="628A5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218CBB7F">
            <w:pPr>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2</w:t>
            </w:r>
          </w:p>
        </w:tc>
        <w:tc>
          <w:tcPr>
            <w:tcW w:w="370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04D48B8B">
            <w:pPr>
              <w:bidi w:val="0"/>
              <w:jc w:val="both"/>
              <w:rPr>
                <w:rFonts w:hint="default" w:ascii="Arial" w:hAnsi="Arial" w:cs="Arial"/>
                <w:sz w:val="16"/>
                <w:szCs w:val="16"/>
                <w:lang w:val="pt-BR"/>
              </w:rPr>
            </w:pPr>
            <w:r>
              <w:rPr>
                <w:rFonts w:ascii="Arial" w:hAnsi="Arial" w:eastAsia="Arial" w:cs="Arial"/>
                <w:color w:val="000000"/>
                <w:spacing w:val="0"/>
                <w:sz w:val="16"/>
                <w:szCs w:val="16"/>
              </w:rPr>
              <w:t>Massa asfáltica Usinada a Quente (CBUQ) para aplicação à frio, usinado com temperatura aproximada de 120º C, preparado com agregados pétreos CAP 50/70, teor de betume,  mínimo, entre 5,3% à 6,2%, modificado por polímero, pó de borracha, retardador de cura, recuperação elástica, mínima, entre 87% à 98% com processo de mistura não-emulsionados com no mínimo 25% de aditivo retardador de cura de para aplicação a frio, com granulometria não inferior a 97% na peneira 3/8, entregue a granel com estocagem mínima de 30 dias.</w:t>
            </w:r>
            <w:r>
              <w:rPr>
                <w:rFonts w:hint="default" w:eastAsia="Arial" w:cs="Arial"/>
                <w:color w:val="000000"/>
                <w:spacing w:val="0"/>
                <w:sz w:val="16"/>
                <w:szCs w:val="16"/>
                <w:lang w:val="pt-BR"/>
              </w:rPr>
              <w:t>CATMAT 621564</w:t>
            </w:r>
          </w:p>
        </w:tc>
        <w:tc>
          <w:tcPr>
            <w:tcW w:w="1124"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501E9683">
            <w:pPr>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KG</w:t>
            </w:r>
          </w:p>
        </w:tc>
        <w:tc>
          <w:tcPr>
            <w:tcW w:w="109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22BA6E5A">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750.000</w:t>
            </w:r>
          </w:p>
        </w:tc>
        <w:tc>
          <w:tcPr>
            <w:tcW w:w="134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7B50A9E3">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757.500,00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11464696">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1,01</w:t>
            </w:r>
          </w:p>
        </w:tc>
      </w:tr>
      <w:tr w14:paraId="64E5C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5" w:type="dxa"/>
            <w:gridSpan w:val="6"/>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vAlign w:val="top"/>
          </w:tcPr>
          <w:p w14:paraId="73A28C2C">
            <w:pPr>
              <w:bidi w:val="0"/>
              <w:jc w:val="center"/>
              <w:rPr>
                <w:rFonts w:hint="default" w:eastAsia="Arial" w:cs="Arial"/>
                <w:color w:val="000000"/>
                <w:spacing w:val="0"/>
                <w:kern w:val="0"/>
                <w:sz w:val="16"/>
                <w:szCs w:val="16"/>
                <w:lang w:val="pt-BR" w:eastAsia="en-US" w:bidi="ar-SA"/>
              </w:rPr>
            </w:pPr>
            <w:r>
              <w:rPr>
                <w:rFonts w:hint="default" w:eastAsia="Arial" w:cs="Arial"/>
                <w:b/>
                <w:bCs/>
                <w:color w:val="000000"/>
                <w:spacing w:val="0"/>
                <w:kern w:val="0"/>
                <w:sz w:val="18"/>
                <w:szCs w:val="18"/>
                <w:lang w:val="pt-BR" w:eastAsia="en-US" w:bidi="ar-SA"/>
              </w:rPr>
              <w:t>COTA DE 25% EXCLUSIVO MPE - COM PRIORIDADE DE CONTRATAÇÃO REGIONAL</w:t>
            </w:r>
          </w:p>
        </w:tc>
      </w:tr>
      <w:tr w14:paraId="345F8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25767F8A">
            <w:pPr>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03</w:t>
            </w:r>
          </w:p>
        </w:tc>
        <w:tc>
          <w:tcPr>
            <w:tcW w:w="370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18D0EE55">
            <w:pPr>
              <w:bidi w:val="0"/>
              <w:jc w:val="both"/>
              <w:rPr>
                <w:rFonts w:hint="default" w:ascii="Arial" w:hAnsi="Arial" w:cs="Arial"/>
                <w:sz w:val="16"/>
                <w:szCs w:val="16"/>
              </w:rPr>
            </w:pPr>
            <w:r>
              <w:rPr>
                <w:rFonts w:ascii="Arial" w:hAnsi="Arial" w:eastAsia="Arial" w:cs="Arial"/>
                <w:color w:val="000000"/>
                <w:spacing w:val="0"/>
                <w:sz w:val="16"/>
                <w:szCs w:val="16"/>
              </w:rPr>
              <w:t>Massa asfáltica Usinada a Quente (CBUQ) para aplicação à frio, usinado com temperatura aproximada de 120º C, preparado com agregados pétreos CAP 50/70, teor de betume,  mínimo, entre 5,3% à 6,2%, modificado por polímero, pó de borracha, retardador de cura, recuperação elástica, mínima, entre 87% à 98% com processo de mistura não-emulsionados com no mínimo 25% de aditivo retardador de cura de para aplicação a frio, com granulometria não inferior a 97% na peneira 3/8, acondicionados em sacos de 25 quilos resistentes ao armazenamento/ estocagem mínima</w:t>
            </w:r>
            <w:r>
              <w:rPr>
                <w:rFonts w:ascii="Arial" w:hAnsi="Arial" w:eastAsia="Arial" w:cs="Arial"/>
                <w:color w:val="000000"/>
                <w:spacing w:val="0"/>
                <w:sz w:val="16"/>
                <w:szCs w:val="16"/>
              </w:rPr>
              <w:br w:type="textWrapping"/>
            </w:r>
            <w:r>
              <w:rPr>
                <w:rFonts w:ascii="Arial" w:hAnsi="Arial" w:eastAsia="Arial" w:cs="Arial"/>
                <w:color w:val="000000"/>
                <w:spacing w:val="0"/>
                <w:sz w:val="16"/>
                <w:szCs w:val="16"/>
              </w:rPr>
              <w:t>de 12 meses.</w:t>
            </w:r>
            <w:r>
              <w:rPr>
                <w:rFonts w:hint="default" w:eastAsia="Arial" w:cs="Arial"/>
                <w:color w:val="000000"/>
                <w:spacing w:val="0"/>
                <w:sz w:val="16"/>
                <w:szCs w:val="16"/>
                <w:lang w:val="pt-BR"/>
              </w:rPr>
              <w:t>CATMAT 621564</w:t>
            </w:r>
          </w:p>
        </w:tc>
        <w:tc>
          <w:tcPr>
            <w:tcW w:w="1124"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3196D041">
            <w:pPr>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Saco</w:t>
            </w:r>
          </w:p>
        </w:tc>
        <w:tc>
          <w:tcPr>
            <w:tcW w:w="109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01F810A1">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5.000</w:t>
            </w:r>
          </w:p>
        </w:tc>
        <w:tc>
          <w:tcPr>
            <w:tcW w:w="134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263C66E0">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170.700,00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06228E72">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34,14</w:t>
            </w:r>
          </w:p>
        </w:tc>
      </w:tr>
      <w:tr w14:paraId="259F4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3F341A3E">
            <w:pPr>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04</w:t>
            </w:r>
          </w:p>
        </w:tc>
        <w:tc>
          <w:tcPr>
            <w:tcW w:w="370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1D06122C">
            <w:pPr>
              <w:bidi w:val="0"/>
              <w:jc w:val="both"/>
              <w:rPr>
                <w:rFonts w:hint="default" w:ascii="Arial" w:hAnsi="Arial" w:cs="Arial"/>
                <w:sz w:val="16"/>
                <w:szCs w:val="16"/>
              </w:rPr>
            </w:pPr>
            <w:r>
              <w:rPr>
                <w:rFonts w:ascii="Arial" w:hAnsi="Arial" w:eastAsia="Arial" w:cs="Arial"/>
                <w:color w:val="000000"/>
                <w:spacing w:val="0"/>
                <w:sz w:val="16"/>
                <w:szCs w:val="16"/>
              </w:rPr>
              <w:t>Massa asfáltica Usinada a Quente (CBUQ) para aplicação à frio, usinado com temperatura aproximada de 120º C, preparado com agregados pétreos CAP 50/70, teor de betume,  mínimo, entre 5,3% à 6,2%, modificado por polímero, pó de borracha, retardador de cura, recuperação elástica, mínima, entre 87% à 98% com processo de mistura não-emulsionados com no mínimo 25% de aditivo retardador de cura de para aplicação a frio, com granulometria não inferior a 97% na peneira 3/8, entregue a granel com estocagem mínima de 30 dias.</w:t>
            </w:r>
            <w:r>
              <w:rPr>
                <w:rFonts w:hint="default" w:eastAsia="Arial" w:cs="Arial"/>
                <w:color w:val="000000"/>
                <w:spacing w:val="0"/>
                <w:sz w:val="16"/>
                <w:szCs w:val="16"/>
                <w:lang w:val="pt-BR"/>
              </w:rPr>
              <w:t>CATMAT 621564</w:t>
            </w:r>
          </w:p>
        </w:tc>
        <w:tc>
          <w:tcPr>
            <w:tcW w:w="1124"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0F1787AA">
            <w:pPr>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KG</w:t>
            </w:r>
          </w:p>
        </w:tc>
        <w:tc>
          <w:tcPr>
            <w:tcW w:w="109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3B3D1095">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250.000</w:t>
            </w:r>
          </w:p>
        </w:tc>
        <w:tc>
          <w:tcPr>
            <w:tcW w:w="134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184120DB">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252.500,00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7F6941BC">
            <w:pPr>
              <w:bidi w:val="0"/>
              <w:jc w:val="center"/>
              <w:rPr>
                <w:rFonts w:hint="default" w:eastAsia="Arial" w:cs="Arial"/>
                <w:color w:val="000000"/>
                <w:spacing w:val="0"/>
                <w:kern w:val="0"/>
                <w:sz w:val="16"/>
                <w:szCs w:val="16"/>
                <w:lang w:val="pt-BR" w:eastAsia="en-US" w:bidi="ar-SA"/>
              </w:rPr>
            </w:pPr>
            <w:r>
              <w:rPr>
                <w:rFonts w:hint="default" w:eastAsia="Arial" w:cs="Arial"/>
                <w:color w:val="000000"/>
                <w:spacing w:val="0"/>
                <w:kern w:val="0"/>
                <w:sz w:val="16"/>
                <w:szCs w:val="16"/>
                <w:lang w:val="pt-BR" w:eastAsia="en-US" w:bidi="ar-SA"/>
              </w:rPr>
              <w:t>1,01</w:t>
            </w:r>
          </w:p>
        </w:tc>
      </w:tr>
      <w:tr w14:paraId="74C09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5" w:type="dxa"/>
            <w:gridSpan w:val="6"/>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vAlign w:val="top"/>
          </w:tcPr>
          <w:p w14:paraId="4E3F4AAE">
            <w:pPr>
              <w:wordWrap w:val="0"/>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 xml:space="preserve">                                                                                                                                    </w:t>
            </w:r>
            <w:r>
              <w:rPr>
                <w:rFonts w:hint="default" w:eastAsia="Arial" w:cs="Arial"/>
                <w:b/>
                <w:bCs/>
                <w:color w:val="000000"/>
                <w:spacing w:val="0"/>
                <w:sz w:val="16"/>
                <w:szCs w:val="16"/>
                <w:lang w:val="pt-BR"/>
              </w:rPr>
              <w:t xml:space="preserve"> Valor Total Estimado: 1.692.800,00</w:t>
            </w:r>
          </w:p>
        </w:tc>
      </w:tr>
    </w:tbl>
    <w:p w14:paraId="6F4DAA35">
      <w:pPr>
        <w:numPr>
          <w:ilvl w:val="0"/>
          <w:numId w:val="0"/>
        </w:numPr>
        <w:spacing w:before="240" w:after="240" w:line="288" w:lineRule="auto"/>
        <w:ind w:leftChars="0"/>
        <w:rPr>
          <w:rFonts w:hint="default"/>
          <w:b/>
          <w:bCs/>
          <w:lang w:val="pt-BR"/>
        </w:rPr>
      </w:pPr>
    </w:p>
    <w:p w14:paraId="4C509EAB">
      <w:pPr>
        <w:numPr>
          <w:ilvl w:val="1"/>
          <w:numId w:val="12"/>
        </w:numPr>
        <w:spacing w:before="240" w:after="240" w:line="288" w:lineRule="auto"/>
        <w:ind w:left="567" w:right="1034" w:hanging="567"/>
        <w:jc w:val="both"/>
        <w:rPr>
          <w:rFonts w:cs="Arial"/>
          <w:b/>
          <w:bCs/>
          <w:szCs w:val="24"/>
        </w:rPr>
      </w:pPr>
      <w:r>
        <w:rPr>
          <w:rFonts w:hint="default" w:cs="Arial"/>
          <w:b/>
          <w:bCs/>
          <w:szCs w:val="24"/>
          <w:lang w:val="pt-BR"/>
        </w:rPr>
        <w:t xml:space="preserve"> </w:t>
      </w:r>
      <w:r>
        <w:rPr>
          <w:rFonts w:cs="Arial"/>
          <w:b/>
          <w:bCs/>
          <w:szCs w:val="24"/>
        </w:rPr>
        <w:t xml:space="preserve">Requisitos da contratação </w:t>
      </w:r>
    </w:p>
    <w:p w14:paraId="474C29F4">
      <w:pPr>
        <w:pStyle w:val="41"/>
        <w:numPr>
          <w:ilvl w:val="0"/>
          <w:numId w:val="13"/>
        </w:numPr>
        <w:tabs>
          <w:tab w:val="left" w:pos="857"/>
          <w:tab w:val="clear" w:pos="420"/>
        </w:tabs>
        <w:spacing w:before="0" w:after="0" w:line="307" w:lineRule="auto"/>
        <w:ind w:left="857" w:leftChars="0" w:right="0" w:rightChars="0" w:hanging="357" w:firstLineChars="0"/>
        <w:jc w:val="both"/>
        <w:rPr>
          <w:sz w:val="24"/>
        </w:rPr>
      </w:pPr>
      <w:r>
        <w:rPr>
          <w:sz w:val="24"/>
        </w:rPr>
        <w:t>A entrega deverá ser por conta da empresa vencedora, devendo ser entregue em até 5 (cinco) dias, a partir da solicitação da secretaria.</w:t>
      </w:r>
    </w:p>
    <w:p w14:paraId="7F2C3BB8">
      <w:pPr>
        <w:pStyle w:val="41"/>
        <w:numPr>
          <w:ilvl w:val="0"/>
          <w:numId w:val="13"/>
        </w:numPr>
        <w:tabs>
          <w:tab w:val="left" w:pos="857"/>
          <w:tab w:val="clear" w:pos="420"/>
        </w:tabs>
        <w:spacing w:before="4" w:after="0" w:line="307" w:lineRule="auto"/>
        <w:ind w:left="857" w:leftChars="0" w:right="0" w:rightChars="0" w:hanging="357" w:firstLineChars="0"/>
        <w:jc w:val="both"/>
        <w:rPr>
          <w:sz w:val="24"/>
        </w:rPr>
      </w:pPr>
      <w:r>
        <w:rPr>
          <w:sz w:val="24"/>
        </w:rPr>
        <w:t>Obedecer</w:t>
      </w:r>
      <w:r>
        <w:rPr>
          <w:spacing w:val="-2"/>
          <w:sz w:val="24"/>
        </w:rPr>
        <w:t xml:space="preserve"> </w:t>
      </w:r>
      <w:r>
        <w:rPr>
          <w:sz w:val="24"/>
        </w:rPr>
        <w:t>rigorosamente</w:t>
      </w:r>
      <w:r>
        <w:rPr>
          <w:spacing w:val="-1"/>
          <w:sz w:val="24"/>
        </w:rPr>
        <w:t xml:space="preserve"> </w:t>
      </w:r>
      <w:r>
        <w:rPr>
          <w:sz w:val="24"/>
        </w:rPr>
        <w:t>aos</w:t>
      </w:r>
      <w:r>
        <w:rPr>
          <w:spacing w:val="-1"/>
          <w:sz w:val="24"/>
        </w:rPr>
        <w:t xml:space="preserve"> </w:t>
      </w:r>
      <w:r>
        <w:rPr>
          <w:sz w:val="24"/>
        </w:rPr>
        <w:t>padrões</w:t>
      </w:r>
      <w:r>
        <w:rPr>
          <w:spacing w:val="-2"/>
          <w:sz w:val="24"/>
        </w:rPr>
        <w:t xml:space="preserve"> </w:t>
      </w:r>
      <w:r>
        <w:rPr>
          <w:sz w:val="24"/>
        </w:rPr>
        <w:t>de</w:t>
      </w:r>
      <w:r>
        <w:rPr>
          <w:spacing w:val="-1"/>
          <w:sz w:val="24"/>
        </w:rPr>
        <w:t xml:space="preserve"> </w:t>
      </w:r>
      <w:r>
        <w:rPr>
          <w:sz w:val="24"/>
        </w:rPr>
        <w:t>qualidade,</w:t>
      </w:r>
      <w:r>
        <w:rPr>
          <w:spacing w:val="-1"/>
          <w:sz w:val="24"/>
        </w:rPr>
        <w:t xml:space="preserve"> </w:t>
      </w:r>
      <w:r>
        <w:rPr>
          <w:sz w:val="24"/>
        </w:rPr>
        <w:t>sendo</w:t>
      </w:r>
      <w:r>
        <w:rPr>
          <w:spacing w:val="-2"/>
          <w:sz w:val="24"/>
        </w:rPr>
        <w:t xml:space="preserve"> </w:t>
      </w:r>
      <w:r>
        <w:rPr>
          <w:sz w:val="24"/>
        </w:rPr>
        <w:t>que</w:t>
      </w:r>
      <w:r>
        <w:rPr>
          <w:spacing w:val="-2"/>
          <w:sz w:val="24"/>
        </w:rPr>
        <w:t xml:space="preserve"> </w:t>
      </w:r>
      <w:r>
        <w:rPr>
          <w:sz w:val="24"/>
        </w:rPr>
        <w:t>o</w:t>
      </w:r>
      <w:r>
        <w:rPr>
          <w:spacing w:val="-1"/>
          <w:sz w:val="24"/>
        </w:rPr>
        <w:t xml:space="preserve"> </w:t>
      </w:r>
      <w:r>
        <w:rPr>
          <w:sz w:val="24"/>
        </w:rPr>
        <w:t>produto</w:t>
      </w:r>
      <w:r>
        <w:rPr>
          <w:spacing w:val="-1"/>
          <w:sz w:val="24"/>
        </w:rPr>
        <w:t xml:space="preserve"> </w:t>
      </w:r>
      <w:r>
        <w:rPr>
          <w:sz w:val="24"/>
        </w:rPr>
        <w:t>deverá estar dentro do prazo de validade e em perfeita condição de uso.</w:t>
      </w:r>
    </w:p>
    <w:p w14:paraId="65F36AB0">
      <w:pPr>
        <w:pStyle w:val="41"/>
        <w:numPr>
          <w:ilvl w:val="0"/>
          <w:numId w:val="13"/>
        </w:numPr>
        <w:tabs>
          <w:tab w:val="left" w:pos="857"/>
          <w:tab w:val="clear" w:pos="420"/>
        </w:tabs>
        <w:spacing w:before="4" w:after="0" w:line="309" w:lineRule="auto"/>
        <w:ind w:left="857" w:leftChars="0" w:right="0" w:rightChars="0" w:hanging="357" w:firstLineChars="0"/>
        <w:jc w:val="both"/>
        <w:rPr>
          <w:rFonts w:hint="default" w:ascii="Arial" w:hAnsi="Arial" w:cs="Arial"/>
          <w:sz w:val="24"/>
          <w:szCs w:val="24"/>
        </w:rPr>
      </w:pPr>
      <w:r>
        <w:rPr>
          <w:sz w:val="24"/>
        </w:rPr>
        <w:t>Substituir os produtos recusados pelo órgão gerenciador, sem qualquer ônus para a Administração, no prazo máximo de 72 (setenta e duas) horas, independentemente da aplicação das penalidades cabíveis.</w:t>
      </w:r>
    </w:p>
    <w:p w14:paraId="25F3D61A">
      <w:pPr>
        <w:pStyle w:val="41"/>
        <w:numPr>
          <w:ilvl w:val="0"/>
          <w:numId w:val="13"/>
        </w:numPr>
        <w:tabs>
          <w:tab w:val="left" w:pos="857"/>
          <w:tab w:val="clear" w:pos="420"/>
        </w:tabs>
        <w:spacing w:before="4" w:after="0" w:line="309" w:lineRule="auto"/>
        <w:ind w:left="857" w:leftChars="0" w:right="0" w:rightChars="0" w:hanging="357" w:firstLineChars="0"/>
        <w:jc w:val="both"/>
        <w:rPr>
          <w:rStyle w:val="59"/>
          <w:rFonts w:hint="default" w:ascii="Arial" w:hAnsi="Arial" w:eastAsia="Segoe UI" w:cs="Arial"/>
          <w:i w:val="0"/>
          <w:iCs w:val="0"/>
          <w:caps w:val="0"/>
          <w:color w:val="000000"/>
          <w:spacing w:val="0"/>
          <w:sz w:val="24"/>
          <w:szCs w:val="24"/>
          <w:shd w:val="clear" w:fill="FFFFFF"/>
        </w:rPr>
      </w:pPr>
      <w:r>
        <w:rPr>
          <w:rFonts w:hint="default"/>
          <w:lang w:val="pt-BR"/>
        </w:rPr>
        <w:t>Apresentação de c</w:t>
      </w:r>
      <w:r>
        <w:rPr>
          <w:rStyle w:val="59"/>
          <w:rFonts w:hint="default" w:ascii="Arial" w:hAnsi="Arial" w:eastAsia="Segoe UI" w:cs="Arial"/>
          <w:i w:val="0"/>
          <w:iCs w:val="0"/>
          <w:caps w:val="0"/>
          <w:color w:val="000000"/>
          <w:spacing w:val="0"/>
          <w:sz w:val="24"/>
          <w:szCs w:val="24"/>
          <w:shd w:val="clear" w:fill="FFFFFF"/>
        </w:rPr>
        <w:t xml:space="preserve">omprovação de registro da empresa no Cadastro Técnico Federal de Atividades Potencialmente Poluidoras e/ ou utilizadoras de Recursos Ambientais, acompanhada do Certificado de Regularidade vigente (CTF/APP) – Instituto Brasileiro do Meio Ambiente e dos Recursos Naturais Renováveis – IBAMA. </w:t>
      </w:r>
    </w:p>
    <w:p w14:paraId="23FE16CD">
      <w:pPr>
        <w:pStyle w:val="41"/>
        <w:numPr>
          <w:ilvl w:val="0"/>
          <w:numId w:val="0"/>
        </w:numPr>
        <w:tabs>
          <w:tab w:val="left" w:pos="857"/>
        </w:tabs>
        <w:spacing w:before="4" w:after="0" w:line="309" w:lineRule="auto"/>
        <w:ind w:left="500" w:leftChars="0" w:right="0" w:rightChars="0"/>
        <w:jc w:val="both"/>
        <w:rPr>
          <w:rStyle w:val="59"/>
          <w:rFonts w:hint="default" w:ascii="Arial" w:hAnsi="Arial" w:eastAsia="Segoe UI" w:cs="Arial"/>
          <w:i w:val="0"/>
          <w:iCs w:val="0"/>
          <w:caps w:val="0"/>
          <w:color w:val="000000"/>
          <w:spacing w:val="0"/>
          <w:sz w:val="24"/>
          <w:szCs w:val="24"/>
          <w:shd w:val="clear" w:fill="FFFFFF"/>
        </w:rPr>
      </w:pPr>
      <w:r>
        <w:rPr>
          <w:rStyle w:val="59"/>
          <w:rFonts w:hint="default"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Para as licitantes que comprovem atuar exclusivamente na atividade de </w:t>
      </w:r>
      <w:r>
        <w:rPr>
          <w:rStyle w:val="59"/>
          <w:rFonts w:hint="default"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revenda e logística de produto massa asfáltica (CBUQ), sem operação de usina </w:t>
      </w:r>
      <w:r>
        <w:rPr>
          <w:rStyle w:val="59"/>
          <w:rFonts w:hint="default"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própria ou manipulação química, a exigência do CTF/APP (IBAMA) será </w:t>
      </w:r>
      <w:r>
        <w:rPr>
          <w:rStyle w:val="59"/>
          <w:rFonts w:hint="default"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considerada atendida mediante a apresentação conjunta de: </w:t>
      </w:r>
    </w:p>
    <w:p w14:paraId="7B46F9AC">
      <w:pPr>
        <w:pStyle w:val="41"/>
        <w:numPr>
          <w:ilvl w:val="0"/>
          <w:numId w:val="0"/>
        </w:numPr>
        <w:tabs>
          <w:tab w:val="left" w:pos="709"/>
        </w:tabs>
        <w:spacing w:before="180" w:after="0"/>
        <w:ind w:leftChars="0" w:right="0" w:rightChars="0"/>
        <w:contextualSpacing/>
        <w:jc w:val="both"/>
        <w:rPr>
          <w:rStyle w:val="59"/>
          <w:rFonts w:hint="default" w:ascii="Arial" w:hAnsi="Arial" w:eastAsia="Segoe UI" w:cs="Arial"/>
          <w:i w:val="0"/>
          <w:iCs w:val="0"/>
          <w:caps w:val="0"/>
          <w:color w:val="000000"/>
          <w:spacing w:val="0"/>
          <w:sz w:val="24"/>
          <w:szCs w:val="24"/>
          <w:shd w:val="clear" w:fill="FFFFFF"/>
        </w:rPr>
      </w:pPr>
      <w:r>
        <w:rPr>
          <w:rStyle w:val="59"/>
          <w:rFonts w:hint="default"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a) Certificado de Regularidade e CTF/APP em nome do FABRICANTE do </w:t>
      </w:r>
      <w:r>
        <w:rPr>
          <w:rStyle w:val="59"/>
          <w:rFonts w:hint="default"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produto ofertado; </w:t>
      </w:r>
    </w:p>
    <w:p w14:paraId="0F81E37C">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firstLine="708" w:firstLineChars="0"/>
        <w:jc w:val="both"/>
        <w:textAlignment w:val="auto"/>
        <w:rPr>
          <w:rStyle w:val="59"/>
          <w:rFonts w:hint="default" w:ascii="Arial" w:hAnsi="Arial" w:eastAsia="Segoe UI" w:cs="Arial"/>
          <w:i w:val="0"/>
          <w:iCs w:val="0"/>
          <w:caps w:val="0"/>
          <w:color w:val="000000"/>
          <w:spacing w:val="0"/>
          <w:sz w:val="24"/>
          <w:szCs w:val="24"/>
          <w:shd w:val="clear" w:fill="FFFFFF"/>
        </w:rPr>
      </w:pPr>
      <w:r>
        <w:rPr>
          <w:rStyle w:val="59"/>
          <w:rFonts w:hint="default" w:ascii="Arial" w:hAnsi="Arial" w:eastAsia="Segoe UI" w:cs="Arial"/>
          <w:i w:val="0"/>
          <w:iCs w:val="0"/>
          <w:caps w:val="0"/>
          <w:color w:val="000000"/>
          <w:spacing w:val="0"/>
          <w:sz w:val="24"/>
          <w:szCs w:val="24"/>
          <w:shd w:val="clear" w:fill="FFFFFF"/>
        </w:rPr>
        <w:t xml:space="preserve">b) Documento ou declaração devidamente válidos que comprovem que a </w:t>
      </w:r>
      <w:r>
        <w:rPr>
          <w:rStyle w:val="59"/>
          <w:rFonts w:hint="default" w:ascii="Arial" w:hAnsi="Arial"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atividade de</w:t>
      </w:r>
      <w:r>
        <w:rPr>
          <w:rStyle w:val="59"/>
          <w:rFonts w:hint="default" w:ascii="Arial" w:hAnsi="Arial" w:eastAsia="Segoe UI" w:cs="Arial"/>
          <w:i w:val="0"/>
          <w:iCs w:val="0"/>
          <w:caps w:val="0"/>
          <w:color w:val="000000"/>
          <w:spacing w:val="0"/>
          <w:sz w:val="24"/>
          <w:szCs w:val="24"/>
          <w:shd w:val="clear" w:fill="FFFFFF"/>
          <w:lang w:val="pt-BR"/>
        </w:rPr>
        <w:t xml:space="preserve"> </w:t>
      </w:r>
      <w:r>
        <w:rPr>
          <w:rStyle w:val="59"/>
          <w:rFonts w:hint="default" w:ascii="Arial" w:hAnsi="Arial" w:eastAsia="Segoe UI" w:cs="Arial"/>
          <w:i w:val="0"/>
          <w:iCs w:val="0"/>
          <w:caps w:val="0"/>
          <w:color w:val="000000"/>
          <w:spacing w:val="0"/>
          <w:sz w:val="24"/>
          <w:szCs w:val="24"/>
          <w:shd w:val="clear" w:fill="FFFFFF"/>
        </w:rPr>
        <w:t xml:space="preserve">comércio/revenda exercida pela licitante é dispensada de registro </w:t>
      </w:r>
      <w:r>
        <w:rPr>
          <w:rStyle w:val="59"/>
          <w:rFonts w:hint="default" w:ascii="Arial" w:hAnsi="Arial"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próprio no IBAMA, nos termos da Instrução Normativa nº 13/2021. </w:t>
      </w:r>
    </w:p>
    <w:p w14:paraId="1B9A003E">
      <w:pPr>
        <w:pStyle w:val="20"/>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12" w:lineRule="auto"/>
        <w:ind w:left="0" w:right="0" w:firstLine="708" w:firstLineChars="0"/>
        <w:jc w:val="both"/>
        <w:textAlignment w:val="auto"/>
        <w:rPr>
          <w:rStyle w:val="59"/>
          <w:rFonts w:hint="default" w:ascii="Arial" w:hAnsi="Arial" w:eastAsia="Segoe UI" w:cs="Arial"/>
          <w:i w:val="0"/>
          <w:iCs w:val="0"/>
          <w:caps w:val="0"/>
          <w:color w:val="000000"/>
          <w:spacing w:val="0"/>
          <w:sz w:val="24"/>
          <w:szCs w:val="24"/>
          <w:shd w:val="clear" w:fill="FFFFFF"/>
          <w:lang w:val="pt-BR"/>
        </w:rPr>
      </w:pPr>
      <w:r>
        <w:rPr>
          <w:rStyle w:val="59"/>
          <w:rFonts w:hint="default" w:ascii="Arial" w:hAnsi="Arial" w:eastAsia="Segoe UI" w:cs="Arial"/>
          <w:i w:val="0"/>
          <w:iCs w:val="0"/>
          <w:caps w:val="0"/>
          <w:color w:val="000000"/>
          <w:spacing w:val="0"/>
          <w:sz w:val="24"/>
          <w:szCs w:val="24"/>
          <w:shd w:val="clear" w:fill="FFFFFF"/>
        </w:rPr>
        <w:t xml:space="preserve">c) Comprovante de vínculo (contrato, declaração de parceria ou nota fiscal de </w:t>
      </w:r>
      <w:r>
        <w:rPr>
          <w:rStyle w:val="59"/>
          <w:rFonts w:hint="default" w:ascii="Arial" w:hAnsi="Arial"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 xml:space="preserve">aquisição recente) que ateste a procedência do material junto ao fabricante </w:t>
      </w:r>
      <w:r>
        <w:rPr>
          <w:rStyle w:val="59"/>
          <w:rFonts w:hint="default" w:ascii="Arial" w:hAnsi="Arial" w:eastAsia="Segoe UI" w:cs="Arial"/>
          <w:i w:val="0"/>
          <w:iCs w:val="0"/>
          <w:caps w:val="0"/>
          <w:color w:val="000000"/>
          <w:spacing w:val="0"/>
          <w:sz w:val="24"/>
          <w:szCs w:val="24"/>
          <w:shd w:val="clear" w:fill="FFFFFF"/>
          <w:lang w:val="pt-BR"/>
        </w:rPr>
        <w:tab/>
      </w:r>
      <w:r>
        <w:rPr>
          <w:rStyle w:val="59"/>
          <w:rFonts w:hint="default" w:ascii="Arial" w:hAnsi="Arial" w:eastAsia="Segoe UI" w:cs="Arial"/>
          <w:i w:val="0"/>
          <w:iCs w:val="0"/>
          <w:caps w:val="0"/>
          <w:color w:val="000000"/>
          <w:spacing w:val="0"/>
          <w:sz w:val="24"/>
          <w:szCs w:val="24"/>
          <w:shd w:val="clear" w:fill="FFFFFF"/>
        </w:rPr>
        <w:t>apresentado</w:t>
      </w:r>
      <w:r>
        <w:rPr>
          <w:rStyle w:val="59"/>
          <w:rFonts w:hint="default" w:ascii="Arial" w:hAnsi="Arial" w:eastAsia="Segoe UI" w:cs="Arial"/>
          <w:i w:val="0"/>
          <w:iCs w:val="0"/>
          <w:caps w:val="0"/>
          <w:color w:val="000000"/>
          <w:spacing w:val="0"/>
          <w:sz w:val="24"/>
          <w:szCs w:val="24"/>
          <w:shd w:val="clear" w:fill="FFFFFF"/>
          <w:lang w:val="pt-BR"/>
        </w:rPr>
        <w:t xml:space="preserve">. </w:t>
      </w:r>
    </w:p>
    <w:p w14:paraId="5C2D35E9">
      <w:pPr>
        <w:pStyle w:val="20"/>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Autospacing="0" w:after="0" w:afterAutospacing="0" w:line="312" w:lineRule="auto"/>
        <w:ind w:left="420" w:leftChars="0" w:right="0" w:hanging="420" w:firstLineChars="0"/>
        <w:jc w:val="both"/>
        <w:textAlignment w:val="auto"/>
        <w:rPr>
          <w:rFonts w:hint="default" w:ascii="Arial" w:hAnsi="Arial" w:cs="Arial"/>
          <w:sz w:val="24"/>
          <w:szCs w:val="24"/>
        </w:rPr>
      </w:pPr>
      <w:r>
        <w:rPr>
          <w:rStyle w:val="59"/>
          <w:rFonts w:hint="default" w:ascii="Arial" w:hAnsi="Arial" w:eastAsia="Segoe UI" w:cs="Arial"/>
          <w:i w:val="0"/>
          <w:iCs w:val="0"/>
          <w:caps w:val="0"/>
          <w:color w:val="000000"/>
          <w:spacing w:val="0"/>
          <w:sz w:val="24"/>
          <w:szCs w:val="24"/>
          <w:shd w:val="clear" w:fill="FFFFFF"/>
          <w:lang w:val="pt-BR"/>
        </w:rPr>
        <w:t>A</w:t>
      </w:r>
      <w:r>
        <w:rPr>
          <w:rStyle w:val="59"/>
          <w:rFonts w:hint="default" w:ascii="Arial" w:hAnsi="Arial" w:eastAsia="Segoe UI" w:cs="Arial"/>
          <w:i w:val="0"/>
          <w:iCs w:val="0"/>
          <w:caps w:val="0"/>
          <w:color w:val="000000"/>
          <w:spacing w:val="0"/>
          <w:sz w:val="24"/>
          <w:szCs w:val="24"/>
          <w:shd w:val="clear" w:fill="FFFFFF"/>
        </w:rPr>
        <w:t>presentar o Projeto da Massa Asfáltica: A licitante deverá fornecer documento técnico emitiido pelo fabricante detalhando a composição do produto.</w:t>
      </w:r>
    </w:p>
    <w:p w14:paraId="1F918954">
      <w:pPr>
        <w:tabs>
          <w:tab w:val="left" w:pos="567"/>
          <w:tab w:val="left" w:pos="9840"/>
        </w:tabs>
        <w:spacing w:before="180" w:after="0"/>
        <w:ind w:right="0" w:rightChars="0"/>
        <w:jc w:val="both"/>
        <w:rPr>
          <w:rFonts w:hint="default"/>
          <w:b/>
          <w:bCs/>
          <w:lang w:val="pt-BR"/>
        </w:rPr>
      </w:pPr>
      <w:r>
        <w:rPr>
          <w:b/>
          <w:bCs/>
          <w:lang w:val="pt-BR"/>
        </w:rPr>
        <w:t>2.3.</w:t>
      </w:r>
      <w:r>
        <w:rPr>
          <w:b/>
          <w:bCs/>
        </w:rPr>
        <w:t>Prazo de entrega ou de execução do objeto</w:t>
      </w:r>
      <w:r>
        <w:rPr>
          <w:rFonts w:hint="default"/>
          <w:lang w:val="pt-BR"/>
        </w:rPr>
        <w:t>: 05 (cinco) dias após o recebimento da nota de empenho.</w:t>
      </w:r>
    </w:p>
    <w:p w14:paraId="52BC3F18">
      <w:pPr>
        <w:keepNext w:val="0"/>
        <w:keepLines w:val="0"/>
        <w:pageBreakBefore w:val="0"/>
        <w:widowControl/>
        <w:kinsoku/>
        <w:wordWrap/>
        <w:overflowPunct/>
        <w:topLinePunct w:val="0"/>
        <w:autoSpaceDE/>
        <w:autoSpaceDN/>
        <w:bidi w:val="0"/>
        <w:adjustRightInd/>
        <w:snapToGrid/>
        <w:spacing w:before="240" w:after="0" w:line="288" w:lineRule="auto"/>
        <w:jc w:val="both"/>
        <w:textAlignment w:val="auto"/>
        <w:rPr>
          <w:lang w:val="pt-BR"/>
        </w:rPr>
      </w:pPr>
      <w:r>
        <w:rPr>
          <w:rFonts w:hint="default"/>
          <w:b/>
          <w:bCs/>
          <w:lang w:val="pt-BR"/>
        </w:rPr>
        <w:t>2.4.Local de entrega ou</w:t>
      </w:r>
      <w:r>
        <w:rPr>
          <w:b/>
          <w:bCs/>
        </w:rPr>
        <w:t xml:space="preserve"> d</w:t>
      </w:r>
      <w:r>
        <w:rPr>
          <w:rFonts w:hint="default"/>
          <w:b/>
          <w:bCs/>
          <w:lang w:val="pt-BR"/>
        </w:rPr>
        <w:t>e</w:t>
      </w:r>
      <w:r>
        <w:rPr>
          <w:b/>
          <w:bCs/>
        </w:rPr>
        <w:t xml:space="preserve"> execução do objeto</w:t>
      </w:r>
      <w:r>
        <w:t xml:space="preserve">: </w:t>
      </w:r>
      <w:r>
        <w:rPr>
          <w:lang w:val="pt-BR"/>
        </w:rPr>
        <w:t xml:space="preserve">  </w:t>
      </w:r>
    </w:p>
    <w:p w14:paraId="3AEF692C">
      <w:pPr>
        <w:keepNext w:val="0"/>
        <w:keepLines w:val="0"/>
        <w:pageBreakBefore w:val="0"/>
        <w:widowControl/>
        <w:numPr>
          <w:ilvl w:val="0"/>
          <w:numId w:val="14"/>
        </w:numPr>
        <w:kinsoku/>
        <w:wordWrap/>
        <w:overflowPunct/>
        <w:topLinePunct w:val="0"/>
        <w:autoSpaceDE/>
        <w:autoSpaceDN/>
        <w:bidi w:val="0"/>
        <w:adjustRightInd/>
        <w:snapToGrid/>
        <w:spacing w:before="240" w:after="0" w:line="288" w:lineRule="auto"/>
        <w:ind w:left="420" w:leftChars="0" w:hanging="420" w:firstLineChars="0"/>
        <w:jc w:val="both"/>
        <w:textAlignment w:val="auto"/>
      </w:pPr>
      <w:r>
        <w:t>Secretaria Municipal de Infraestrutura e Serviços Públicos: Avenida Heitor de Alencar Furtado, nº 7170 Jardim Santos Dumont.</w:t>
      </w:r>
    </w:p>
    <w:p w14:paraId="2F0D4A30">
      <w:pPr>
        <w:keepNext w:val="0"/>
        <w:keepLines w:val="0"/>
        <w:pageBreakBefore w:val="0"/>
        <w:kinsoku/>
        <w:wordWrap/>
        <w:overflowPunct/>
        <w:topLinePunct w:val="0"/>
        <w:bidi w:val="0"/>
        <w:adjustRightInd/>
        <w:snapToGrid/>
        <w:spacing w:line="312" w:lineRule="auto"/>
        <w:jc w:val="both"/>
        <w:textAlignment w:val="auto"/>
        <w:rPr>
          <w:rFonts w:hint="default" w:cs="Arial"/>
          <w:sz w:val="24"/>
          <w:szCs w:val="24"/>
          <w:lang w:val="pt-BR" w:eastAsia="zh-CN"/>
        </w:rPr>
      </w:pPr>
      <w:r>
        <w:rPr>
          <w:rFonts w:hint="default" w:ascii="Arial" w:hAnsi="Arial" w:cs="Arial"/>
          <w:b/>
          <w:bCs/>
          <w:lang w:val="pt-BR"/>
        </w:rPr>
        <w:t>2.5.</w:t>
      </w:r>
      <w:r>
        <w:rPr>
          <w:rFonts w:hint="default" w:cs="Arial"/>
          <w:b/>
          <w:bCs/>
          <w:lang w:val="pt-BR"/>
        </w:rPr>
        <w:t>Prazo para recebimento provisório:</w:t>
      </w:r>
      <w:r>
        <w:rPr>
          <w:rFonts w:hint="default" w:ascii="Arial" w:hAnsi="Arial" w:cs="Arial"/>
          <w:sz w:val="24"/>
          <w:szCs w:val="24"/>
          <w:lang w:val="pt-BR" w:eastAsia="zh-CN"/>
        </w:rPr>
        <w:t>P</w:t>
      </w:r>
      <w:r>
        <w:rPr>
          <w:rFonts w:hint="default" w:ascii="Arial" w:hAnsi="Arial" w:cs="Arial"/>
          <w:sz w:val="24"/>
          <w:szCs w:val="24"/>
          <w:lang w:val="en-US" w:eastAsia="zh-CN"/>
        </w:rPr>
        <w:t xml:space="preserve">rovisoriamente, </w:t>
      </w:r>
      <w:r>
        <w:rPr>
          <w:rFonts w:hint="default" w:cs="Arial"/>
          <w:sz w:val="24"/>
          <w:szCs w:val="24"/>
          <w:lang w:val="pt-BR" w:eastAsia="zh-CN"/>
        </w:rPr>
        <w:t>em até 02(dois) dias após recebimento do produto</w:t>
      </w:r>
    </w:p>
    <w:p w14:paraId="4FFC32D8">
      <w:pPr>
        <w:keepNext w:val="0"/>
        <w:keepLines w:val="0"/>
        <w:pageBreakBefore w:val="0"/>
        <w:kinsoku/>
        <w:wordWrap/>
        <w:overflowPunct/>
        <w:topLinePunct w:val="0"/>
        <w:bidi w:val="0"/>
        <w:adjustRightInd/>
        <w:snapToGrid/>
        <w:spacing w:line="312" w:lineRule="auto"/>
        <w:jc w:val="both"/>
        <w:textAlignment w:val="auto"/>
        <w:rPr>
          <w:rFonts w:hint="default"/>
          <w:lang w:val="en-US" w:eastAsia="zh-CN"/>
        </w:rPr>
      </w:pPr>
      <w:r>
        <w:rPr>
          <w:rFonts w:hint="default" w:cs="Arial"/>
          <w:b/>
          <w:bCs/>
          <w:lang w:val="pt-BR"/>
        </w:rPr>
        <w:t>2.6.</w:t>
      </w:r>
      <w:r>
        <w:rPr>
          <w:rFonts w:hint="default" w:ascii="Arial" w:hAnsi="Arial" w:cs="Arial"/>
          <w:b/>
          <w:bCs/>
        </w:rPr>
        <w:t>Prazo para recebimento definitivo:</w:t>
      </w:r>
      <w:r>
        <w:rPr>
          <w:rFonts w:hint="default" w:ascii="Arial" w:hAnsi="Arial" w:cs="Arial"/>
        </w:rPr>
        <w:t xml:space="preserve"> </w:t>
      </w:r>
      <w:r>
        <w:rPr>
          <w:rStyle w:val="59"/>
          <w:rFonts w:hint="default" w:ascii="Arial" w:hAnsi="Arial" w:eastAsia="Segoe UI" w:cs="Arial"/>
          <w:i w:val="0"/>
          <w:iCs w:val="0"/>
          <w:caps w:val="0"/>
          <w:color w:val="000000"/>
          <w:spacing w:val="0"/>
          <w:sz w:val="24"/>
          <w:szCs w:val="24"/>
          <w:shd w:val="clear" w:fill="FFFFFF"/>
        </w:rPr>
        <w:t xml:space="preserve"> </w:t>
      </w:r>
      <w:r>
        <w:t>Definitivamente, e</w:t>
      </w:r>
      <w:r>
        <w:rPr>
          <w:rFonts w:hint="default"/>
          <w:lang w:val="en-US" w:eastAsia="zh-CN"/>
        </w:rPr>
        <w:t xml:space="preserve"> em até 1</w:t>
      </w:r>
      <w:r>
        <w:rPr>
          <w:rFonts w:hint="default"/>
          <w:lang w:val="pt-BR" w:eastAsia="zh-CN"/>
        </w:rPr>
        <w:t>5</w:t>
      </w:r>
      <w:r>
        <w:rPr>
          <w:rFonts w:hint="default"/>
          <w:lang w:val="en-US" w:eastAsia="zh-CN"/>
        </w:rPr>
        <w:t xml:space="preserve"> (</w:t>
      </w:r>
      <w:r>
        <w:rPr>
          <w:rFonts w:hint="default"/>
          <w:lang w:val="pt-BR" w:eastAsia="zh-CN"/>
        </w:rPr>
        <w:t>quinze</w:t>
      </w:r>
      <w:r>
        <w:rPr>
          <w:rFonts w:hint="default"/>
          <w:lang w:val="en-US" w:eastAsia="zh-CN"/>
        </w:rPr>
        <w:t>) dias contados do recebimento provisório</w:t>
      </w:r>
      <w:r>
        <w:rPr>
          <w:rFonts w:hint="default"/>
          <w:lang w:val="pt-BR" w:eastAsia="zh-CN"/>
        </w:rPr>
        <w:t>.</w:t>
      </w:r>
      <w:r>
        <w:rPr>
          <w:rFonts w:hint="default"/>
          <w:lang w:val="en-US" w:eastAsia="zh-CN"/>
        </w:rPr>
        <w:t xml:space="preserve"> </w:t>
      </w:r>
    </w:p>
    <w:p w14:paraId="2DDB636A">
      <w:pPr>
        <w:keepNext w:val="0"/>
        <w:keepLines w:val="0"/>
        <w:pageBreakBefore w:val="0"/>
        <w:kinsoku/>
        <w:wordWrap/>
        <w:overflowPunct/>
        <w:topLinePunct w:val="0"/>
        <w:bidi w:val="0"/>
        <w:adjustRightInd/>
        <w:snapToGrid/>
        <w:spacing w:line="312" w:lineRule="auto"/>
        <w:jc w:val="both"/>
        <w:textAlignment w:val="auto"/>
        <w:rPr>
          <w:rFonts w:hint="default"/>
          <w:color w:val="000000" w:themeColor="text1"/>
          <w:lang w:val="pt-BR"/>
          <w14:textFill>
            <w14:solidFill>
              <w14:schemeClr w14:val="tx1"/>
            </w14:solidFill>
          </w14:textFill>
        </w:rPr>
      </w:pPr>
      <w:r>
        <w:rPr>
          <w:rFonts w:hint="default"/>
          <w:b/>
          <w:bCs/>
          <w:color w:val="000000" w:themeColor="text1"/>
          <w:lang w:val="pt-BR"/>
          <w14:textFill>
            <w14:solidFill>
              <w14:schemeClr w14:val="tx1"/>
            </w14:solidFill>
          </w14:textFill>
        </w:rPr>
        <w:t>2.7.</w:t>
      </w:r>
      <w:r>
        <w:rPr>
          <w:rFonts w:hint="default"/>
          <w:color w:val="000000" w:themeColor="text1"/>
          <w:lang w:val="pt-BR"/>
          <w14:textFill>
            <w14:solidFill>
              <w14:schemeClr w14:val="tx1"/>
            </w14:solidFill>
          </w14:textFill>
        </w:rPr>
        <w:t xml:space="preserve"> </w:t>
      </w:r>
      <w:r>
        <w:rPr>
          <w:rFonts w:hint="default"/>
          <w:b/>
          <w:bCs/>
          <w:color w:val="000000" w:themeColor="text1"/>
          <w:lang w:val="pt-BR"/>
          <w14:textFill>
            <w14:solidFill>
              <w14:schemeClr w14:val="tx1"/>
            </w14:solidFill>
          </w14:textFill>
        </w:rPr>
        <w:t>Vigência da Ata de Registro de Preços:</w:t>
      </w:r>
      <w:r>
        <w:rPr>
          <w:rFonts w:hint="default"/>
          <w:color w:val="000000" w:themeColor="text1"/>
          <w:lang w:val="pt-BR"/>
          <w14:textFill>
            <w14:solidFill>
              <w14:schemeClr w14:val="tx1"/>
            </w14:solidFill>
          </w14:textFill>
        </w:rPr>
        <w:t xml:space="preserve"> </w:t>
      </w:r>
      <w:r>
        <w:rPr>
          <w:rFonts w:hint="default"/>
          <w:sz w:val="24"/>
          <w:szCs w:val="24"/>
          <w:lang w:val="pt-BR"/>
        </w:rPr>
        <w:t>O prazo de vigência será 12</w:t>
      </w:r>
      <w:r>
        <w:rPr>
          <w:sz w:val="24"/>
          <w:szCs w:val="24"/>
        </w:rPr>
        <w:t xml:space="preserve"> (</w:t>
      </w:r>
      <w:r>
        <w:rPr>
          <w:rFonts w:hint="default"/>
          <w:sz w:val="24"/>
          <w:szCs w:val="24"/>
          <w:lang w:val="pt-BR"/>
        </w:rPr>
        <w:t>doze</w:t>
      </w:r>
      <w:r>
        <w:rPr>
          <w:sz w:val="24"/>
          <w:szCs w:val="24"/>
        </w:rPr>
        <w:t xml:space="preserve">) </w:t>
      </w:r>
      <w:r>
        <w:rPr>
          <w:rFonts w:hint="default"/>
          <w:sz w:val="24"/>
          <w:szCs w:val="24"/>
          <w:lang w:val="pt-BR"/>
        </w:rPr>
        <w:t>meses</w:t>
      </w:r>
      <w:r>
        <w:rPr>
          <w:sz w:val="24"/>
          <w:szCs w:val="24"/>
        </w:rPr>
        <w:t xml:space="preserve"> a contar da assinatura da Ata de Registro de Preços</w:t>
      </w:r>
      <w:r>
        <w:rPr>
          <w:rFonts w:hint="default"/>
          <w:sz w:val="24"/>
          <w:szCs w:val="24"/>
          <w:lang w:val="pt-BR"/>
        </w:rPr>
        <w:t xml:space="preserve">, </w:t>
      </w:r>
      <w:r>
        <w:rPr>
          <w:rFonts w:ascii="Arial" w:hAnsi="Arial" w:eastAsia="SimSun" w:cs="Arial"/>
          <w:i w:val="0"/>
          <w:iCs w:val="0"/>
          <w:caps w:val="0"/>
          <w:color w:val="000000"/>
          <w:spacing w:val="0"/>
          <w:sz w:val="24"/>
          <w:szCs w:val="24"/>
        </w:rPr>
        <w:t> </w:t>
      </w:r>
      <w:r>
        <w:rPr>
          <w:rFonts w:hint="default" w:ascii="Arial" w:hAnsi="Arial" w:eastAsia="SimSun" w:cs="Arial"/>
          <w:i w:val="0"/>
          <w:iCs w:val="0"/>
          <w:caps w:val="0"/>
          <w:color w:val="000000"/>
          <w:spacing w:val="0"/>
          <w:sz w:val="24"/>
          <w:szCs w:val="24"/>
        </w:rPr>
        <w:t>pode</w:t>
      </w:r>
      <w:r>
        <w:rPr>
          <w:rFonts w:hint="default" w:eastAsia="SimSun" w:cs="Arial"/>
          <w:i w:val="0"/>
          <w:iCs w:val="0"/>
          <w:caps w:val="0"/>
          <w:color w:val="000000"/>
          <w:spacing w:val="0"/>
          <w:sz w:val="24"/>
          <w:szCs w:val="24"/>
          <w:lang w:val="pt-BR"/>
        </w:rPr>
        <w:t xml:space="preserve">ndo </w:t>
      </w:r>
      <w:r>
        <w:rPr>
          <w:rFonts w:hint="default" w:ascii="Arial" w:hAnsi="Arial" w:eastAsia="SimSun" w:cs="Arial"/>
          <w:i w:val="0"/>
          <w:iCs w:val="0"/>
          <w:caps w:val="0"/>
          <w:color w:val="000000"/>
          <w:spacing w:val="0"/>
          <w:sz w:val="24"/>
          <w:szCs w:val="24"/>
        </w:rPr>
        <w:t xml:space="preserve"> ser prorrogado, por igual período, desde que comprovado o preço vantajoso</w:t>
      </w:r>
      <w:r>
        <w:rPr>
          <w:rFonts w:hint="default" w:eastAsia="SimSun" w:cs="Arial"/>
          <w:i w:val="0"/>
          <w:iCs w:val="0"/>
          <w:caps w:val="0"/>
          <w:color w:val="000000"/>
          <w:spacing w:val="0"/>
          <w:sz w:val="24"/>
          <w:szCs w:val="24"/>
          <w:lang w:val="pt-BR"/>
        </w:rPr>
        <w:t>, conforme art. 84 da Lei Federal 14.133/21.</w:t>
      </w:r>
    </w:p>
    <w:p w14:paraId="1B15EB0A">
      <w:pPr>
        <w:keepNext w:val="0"/>
        <w:keepLines w:val="0"/>
        <w:pageBreakBefore w:val="0"/>
        <w:kinsoku/>
        <w:wordWrap/>
        <w:overflowPunct/>
        <w:topLinePunct w:val="0"/>
        <w:bidi w:val="0"/>
        <w:adjustRightInd/>
        <w:snapToGrid/>
        <w:spacing w:before="240" w:after="240" w:line="312" w:lineRule="auto"/>
        <w:jc w:val="both"/>
        <w:textAlignment w:val="auto"/>
        <w:rPr>
          <w:rFonts w:hint="default" w:ascii="Arial" w:hAnsi="Arial" w:cs="Arial"/>
          <w:sz w:val="24"/>
          <w:szCs w:val="24"/>
          <w:rtl w:val="0"/>
        </w:rPr>
      </w:pPr>
      <w:r>
        <w:rPr>
          <w:rFonts w:ascii="Arial" w:hAnsi="Arial" w:cs="Arial"/>
          <w:b/>
          <w:bCs/>
          <w:color w:val="auto"/>
          <w:lang w:val="pt-BR"/>
        </w:rPr>
        <w:t>2.</w:t>
      </w:r>
      <w:r>
        <w:rPr>
          <w:rFonts w:hint="default" w:ascii="Arial" w:hAnsi="Arial" w:cs="Arial"/>
          <w:b/>
          <w:bCs/>
          <w:color w:val="auto"/>
          <w:lang w:val="pt-BR"/>
        </w:rPr>
        <w:t>8</w:t>
      </w:r>
      <w:r>
        <w:rPr>
          <w:rFonts w:ascii="Arial" w:hAnsi="Arial" w:cs="Arial"/>
          <w:b/>
          <w:bCs/>
          <w:color w:val="auto"/>
          <w:lang w:val="pt-BR"/>
        </w:rPr>
        <w:t>.</w:t>
      </w:r>
      <w:r>
        <w:rPr>
          <w:rFonts w:hint="default" w:ascii="Arial" w:hAnsi="Arial" w:cs="Arial"/>
          <w:b/>
          <w:bCs/>
          <w:color w:val="auto"/>
          <w:lang w:val="pt-BR"/>
        </w:rPr>
        <w:t xml:space="preserve"> Prazo de Pagamento: </w:t>
      </w:r>
      <w:r>
        <w:rPr>
          <w:rFonts w:hint="default" w:cs="Arial"/>
          <w:b w:val="0"/>
          <w:bCs w:val="0"/>
          <w:color w:val="auto"/>
          <w:lang w:val="pt-BR"/>
        </w:rPr>
        <w:t>a</w:t>
      </w:r>
      <w:r>
        <w:t>té 30 (trinta) dias contados da data da entrega do produto mediante apresentação da nota fiscal pelo contratado.</w:t>
      </w:r>
    </w:p>
    <w:p w14:paraId="7B0F10C3">
      <w:pPr>
        <w:pStyle w:val="17"/>
        <w:ind w:right="1034"/>
        <w:rPr>
          <w:rFonts w:ascii="Arial" w:hAnsi="Arial" w:cs="Arial"/>
          <w:b/>
          <w:bCs/>
          <w:color w:val="auto"/>
          <w:lang w:val="pt-BR"/>
        </w:rPr>
      </w:pPr>
      <w:r>
        <w:rPr>
          <w:rFonts w:hint="default" w:ascii="Arial" w:hAnsi="Arial" w:cs="Arial"/>
          <w:b/>
          <w:bCs/>
          <w:color w:val="auto"/>
          <w:lang w:val="pt-BR"/>
        </w:rPr>
        <w:t xml:space="preserve">2.9. </w:t>
      </w:r>
      <w:r>
        <w:rPr>
          <w:rFonts w:ascii="Arial" w:hAnsi="Arial" w:cs="Arial"/>
          <w:b/>
          <w:bCs/>
          <w:color w:val="auto"/>
          <w:lang w:val="pt-BR"/>
        </w:rPr>
        <w:t>A empresa contratada obrigar-se-á:</w:t>
      </w:r>
    </w:p>
    <w:p w14:paraId="21C2D41B">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 xml:space="preserve">Fornecer os produtos conforme especificações estabelecidas, durante a vigência da Ata de Registro de Preços com recursos necessários ao perfeito cumprimento do </w:t>
      </w:r>
      <w:r>
        <w:rPr>
          <w:rFonts w:hint="default" w:ascii="Arial" w:hAnsi="Arial" w:cs="Arial"/>
          <w:spacing w:val="-2"/>
        </w:rPr>
        <w:t>mesmo.</w:t>
      </w:r>
    </w:p>
    <w:p w14:paraId="1D7E489E">
      <w:pPr>
        <w:pStyle w:val="17"/>
        <w:numPr>
          <w:ilvl w:val="0"/>
          <w:numId w:val="15"/>
        </w:numPr>
        <w:spacing w:before="82" w:line="288" w:lineRule="auto"/>
        <w:ind w:left="420" w:leftChars="0" w:right="0" w:rightChars="0" w:hanging="420" w:firstLineChars="0"/>
        <w:jc w:val="both"/>
        <w:rPr>
          <w:rFonts w:hint="default" w:ascii="Arial" w:hAnsi="Arial" w:cs="Arial"/>
        </w:rPr>
      </w:pPr>
      <w:r>
        <w:rPr>
          <w:rFonts w:hint="default" w:ascii="Arial" w:hAnsi="Arial" w:cs="Arial"/>
        </w:rPr>
        <w:t>Fornecer os produtos, na qualidade de quantidade especificada, nos termos de sua proposta.</w:t>
      </w:r>
      <w:r>
        <w:rPr>
          <w:rFonts w:hint="default" w:ascii="Arial" w:hAnsi="Arial" w:cs="Arial"/>
          <w:spacing w:val="24"/>
        </w:rPr>
        <w:t xml:space="preserve"> </w:t>
      </w:r>
      <w:r>
        <w:rPr>
          <w:rFonts w:hint="default" w:ascii="Arial" w:hAnsi="Arial" w:cs="Arial"/>
        </w:rPr>
        <w:t>Comunicar</w:t>
      </w:r>
      <w:r>
        <w:rPr>
          <w:rFonts w:hint="default" w:ascii="Arial" w:hAnsi="Arial" w:cs="Arial"/>
          <w:spacing w:val="27"/>
        </w:rPr>
        <w:t xml:space="preserve"> </w:t>
      </w:r>
      <w:r>
        <w:rPr>
          <w:rFonts w:hint="default" w:ascii="Arial" w:hAnsi="Arial" w:cs="Arial"/>
        </w:rPr>
        <w:t>à</w:t>
      </w:r>
      <w:r>
        <w:rPr>
          <w:rFonts w:hint="default" w:ascii="Arial" w:hAnsi="Arial" w:cs="Arial"/>
          <w:spacing w:val="27"/>
        </w:rPr>
        <w:t xml:space="preserve"> </w:t>
      </w:r>
      <w:r>
        <w:rPr>
          <w:rFonts w:hint="default" w:ascii="Arial" w:hAnsi="Arial" w:cs="Arial"/>
        </w:rPr>
        <w:t>Administração,</w:t>
      </w:r>
      <w:r>
        <w:rPr>
          <w:rFonts w:hint="default" w:ascii="Arial" w:hAnsi="Arial" w:cs="Arial"/>
          <w:spacing w:val="26"/>
        </w:rPr>
        <w:t xml:space="preserve"> </w:t>
      </w:r>
      <w:r>
        <w:rPr>
          <w:rFonts w:hint="default" w:ascii="Arial" w:hAnsi="Arial" w:cs="Arial"/>
        </w:rPr>
        <w:t>no</w:t>
      </w:r>
      <w:r>
        <w:rPr>
          <w:rFonts w:hint="default" w:ascii="Arial" w:hAnsi="Arial" w:cs="Arial"/>
          <w:spacing w:val="27"/>
        </w:rPr>
        <w:t xml:space="preserve"> </w:t>
      </w:r>
      <w:r>
        <w:rPr>
          <w:rFonts w:hint="default" w:ascii="Arial" w:hAnsi="Arial" w:cs="Arial"/>
        </w:rPr>
        <w:t>prazo</w:t>
      </w:r>
      <w:r>
        <w:rPr>
          <w:rFonts w:hint="default" w:ascii="Arial" w:hAnsi="Arial" w:cs="Arial"/>
          <w:spacing w:val="27"/>
        </w:rPr>
        <w:t xml:space="preserve"> </w:t>
      </w:r>
      <w:r>
        <w:rPr>
          <w:rFonts w:hint="default" w:ascii="Arial" w:hAnsi="Arial" w:cs="Arial"/>
        </w:rPr>
        <w:t>máximo</w:t>
      </w:r>
      <w:r>
        <w:rPr>
          <w:rFonts w:hint="default" w:ascii="Arial" w:hAnsi="Arial" w:cs="Arial"/>
          <w:spacing w:val="26"/>
        </w:rPr>
        <w:t xml:space="preserve"> </w:t>
      </w:r>
      <w:r>
        <w:rPr>
          <w:rFonts w:hint="default" w:ascii="Arial" w:hAnsi="Arial" w:cs="Arial"/>
        </w:rPr>
        <w:t>de</w:t>
      </w:r>
      <w:r>
        <w:rPr>
          <w:rFonts w:hint="default" w:ascii="Arial" w:hAnsi="Arial" w:cs="Arial"/>
          <w:spacing w:val="27"/>
        </w:rPr>
        <w:t xml:space="preserve"> </w:t>
      </w:r>
      <w:r>
        <w:rPr>
          <w:rFonts w:hint="default" w:ascii="Arial" w:hAnsi="Arial" w:cs="Arial"/>
        </w:rPr>
        <w:t>24</w:t>
      </w:r>
      <w:r>
        <w:rPr>
          <w:rFonts w:hint="default" w:ascii="Arial" w:hAnsi="Arial" w:cs="Arial"/>
          <w:spacing w:val="27"/>
        </w:rPr>
        <w:t xml:space="preserve"> </w:t>
      </w:r>
      <w:r>
        <w:rPr>
          <w:rFonts w:hint="default" w:ascii="Arial" w:hAnsi="Arial" w:cs="Arial"/>
        </w:rPr>
        <w:t>(vinte</w:t>
      </w:r>
      <w:r>
        <w:rPr>
          <w:rFonts w:hint="default" w:ascii="Arial" w:hAnsi="Arial" w:cs="Arial"/>
          <w:spacing w:val="26"/>
        </w:rPr>
        <w:t xml:space="preserve"> </w:t>
      </w:r>
      <w:r>
        <w:rPr>
          <w:rFonts w:hint="default" w:ascii="Arial" w:hAnsi="Arial" w:cs="Arial"/>
        </w:rPr>
        <w:t>e</w:t>
      </w:r>
      <w:r>
        <w:rPr>
          <w:rFonts w:hint="default" w:ascii="Arial" w:hAnsi="Arial" w:cs="Arial"/>
          <w:spacing w:val="27"/>
        </w:rPr>
        <w:t xml:space="preserve"> </w:t>
      </w:r>
      <w:r>
        <w:rPr>
          <w:rFonts w:hint="default" w:ascii="Arial" w:hAnsi="Arial" w:cs="Arial"/>
        </w:rPr>
        <w:t>quatro)</w:t>
      </w:r>
      <w:r>
        <w:rPr>
          <w:rFonts w:hint="default" w:ascii="Arial" w:hAnsi="Arial" w:cs="Arial"/>
          <w:spacing w:val="27"/>
        </w:rPr>
        <w:t xml:space="preserve"> </w:t>
      </w:r>
      <w:r>
        <w:rPr>
          <w:rFonts w:hint="default" w:ascii="Arial" w:hAnsi="Arial" w:cs="Arial"/>
          <w:spacing w:val="-2"/>
        </w:rPr>
        <w:t>horas</w:t>
      </w:r>
      <w:r>
        <w:rPr>
          <w:rFonts w:hint="default" w:ascii="Arial" w:hAnsi="Arial" w:cs="Arial"/>
          <w:spacing w:val="-2"/>
          <w:lang w:val="pt-BR"/>
        </w:rPr>
        <w:t xml:space="preserve"> </w:t>
      </w:r>
      <w:r>
        <w:rPr>
          <w:rFonts w:hint="default" w:ascii="Arial" w:hAnsi="Arial" w:cs="Arial"/>
        </w:rPr>
        <w:t>que antecede a data de entrega, os motivos que impossibilitam o cumprimento do</w:t>
      </w:r>
      <w:r>
        <w:rPr>
          <w:rFonts w:hint="default" w:ascii="Arial" w:hAnsi="Arial" w:cs="Arial"/>
          <w:spacing w:val="40"/>
        </w:rPr>
        <w:t xml:space="preserve"> </w:t>
      </w:r>
      <w:r>
        <w:rPr>
          <w:rFonts w:hint="default" w:ascii="Arial" w:hAnsi="Arial" w:cs="Arial"/>
        </w:rPr>
        <w:t>prazo previsto.</w:t>
      </w:r>
    </w:p>
    <w:p w14:paraId="766D41C5">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Arcar com a responsabilidade civil por todos e quaisquer danos materiais e morais causados pela ação ou omissão de seus empregados, trabalhadores, prepostos ou representantes, dolosa ou culposamente, ao Município.</w:t>
      </w:r>
    </w:p>
    <w:p w14:paraId="2DD25508">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Utilizar empregados habilitados e com conhecimentos básicos do material a ser fornecido, de conformidade com as normas e determinações em vigor.</w:t>
      </w:r>
    </w:p>
    <w:p w14:paraId="6A3D8DED">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Responsabilizar-se pelas despesas dos tributos, encargos trabalhistas,</w:t>
      </w:r>
      <w:r>
        <w:rPr>
          <w:rFonts w:hint="default" w:ascii="Arial" w:hAnsi="Arial" w:cs="Arial"/>
          <w:spacing w:val="40"/>
        </w:rPr>
        <w:t xml:space="preserve"> </w:t>
      </w:r>
      <w:r>
        <w:rPr>
          <w:rFonts w:hint="default" w:ascii="Arial" w:hAnsi="Arial" w:cs="Arial"/>
        </w:rPr>
        <w:t>previdenciários, fiscais, comerciais, taxas, fretes, seguros, deslocamento de pessoal, prestação de garantia e quaisquer outras coisas que incidam ou venham a incidir na execução da Ata de Registro de Preços.</w:t>
      </w:r>
    </w:p>
    <w:p w14:paraId="72E08BC1">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Arcar com o ônus decorrente de eventual equívoco no dimensionamento dos quantitativos de sua proposta, inclusive quanto aos custos variáveis decorrentes de fatores futuros incertos, devendo complementar os mesmos, caso o previsto inicialmente em sua proposta não seja satisfatório para o atendimento objeto da Ata de Registro de Preços.</w:t>
      </w:r>
    </w:p>
    <w:p w14:paraId="49795207">
      <w:pPr>
        <w:pStyle w:val="17"/>
        <w:numPr>
          <w:ilvl w:val="0"/>
          <w:numId w:val="15"/>
        </w:numPr>
        <w:spacing w:before="240" w:line="288" w:lineRule="auto"/>
        <w:ind w:left="420" w:leftChars="0" w:right="0" w:rightChars="0" w:hanging="420" w:firstLineChars="0"/>
        <w:jc w:val="both"/>
        <w:rPr>
          <w:rFonts w:hint="default"/>
          <w:lang w:val="pt-BR"/>
        </w:rPr>
      </w:pPr>
      <w:r>
        <w:rPr>
          <w:rFonts w:hint="default" w:ascii="Arial" w:hAnsi="Arial" w:cs="Arial"/>
        </w:rPr>
        <w:t xml:space="preserve"> Substituição dos produtos sem ônus para administração em caso de entrega de produto incompatível ao licitado.</w:t>
      </w:r>
    </w:p>
    <w:p w14:paraId="41E5F215">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sz w:val="24"/>
          <w:lang w:val="pt-BR"/>
        </w:rPr>
        <w:t>A contratada deverá c</w:t>
      </w:r>
      <w:r>
        <w:rPr>
          <w:rFonts w:hint="default" w:ascii="Arial" w:hAnsi="Arial" w:cs="Arial"/>
        </w:rPr>
        <w:t>umprir, durante todo o período de execução do contrato, a reserva e cargos prevista em lei para pessoa com deficiência, para reabilitado da Previdência Social ou para aprendiz, bem como as reservas de cargos previstas na legislação (</w:t>
      </w:r>
      <w:r>
        <w:rPr>
          <w:rFonts w:hint="default" w:ascii="Arial" w:hAnsi="Arial" w:cs="Arial"/>
        </w:rPr>
        <w:fldChar w:fldCharType="begin"/>
      </w:r>
      <w:r>
        <w:rPr>
          <w:rFonts w:hint="default" w:ascii="Arial" w:hAnsi="Arial" w:cs="Arial"/>
        </w:rPr>
        <w:instrText xml:space="preserve"> HYPERLINK "http://www.planalto.gov.br/ccivil_03/_ato2019-2022/2021/lei/L14133.htm" \l "art116" </w:instrText>
      </w:r>
      <w:r>
        <w:rPr>
          <w:rFonts w:hint="default" w:ascii="Arial" w:hAnsi="Arial" w:cs="Arial"/>
        </w:rPr>
        <w:fldChar w:fldCharType="separate"/>
      </w:r>
      <w:r>
        <w:rPr>
          <w:rStyle w:val="15"/>
          <w:rFonts w:hint="default" w:ascii="Arial" w:hAnsi="Arial" w:cs="Arial"/>
        </w:rPr>
        <w:t>art. 116, da Lei n.º 14.133, de 2021</w:t>
      </w:r>
      <w:r>
        <w:rPr>
          <w:rStyle w:val="15"/>
          <w:rFonts w:hint="default" w:ascii="Arial" w:hAnsi="Arial" w:cs="Arial"/>
        </w:rPr>
        <w:fldChar w:fldCharType="end"/>
      </w:r>
      <w:r>
        <w:rPr>
          <w:rFonts w:hint="default" w:ascii="Arial" w:hAnsi="Arial" w:cs="Arial"/>
        </w:rPr>
        <w:t>)</w:t>
      </w:r>
      <w:r>
        <w:rPr>
          <w:rFonts w:hint="default" w:ascii="Arial" w:hAnsi="Arial" w:cs="Arial"/>
          <w:lang w:val="pt-BR"/>
        </w:rPr>
        <w:t>.</w:t>
      </w:r>
    </w:p>
    <w:p w14:paraId="47A674D7">
      <w:pPr>
        <w:pStyle w:val="17"/>
        <w:ind w:right="1034"/>
        <w:rPr>
          <w:rFonts w:hint="default" w:ascii="Arial" w:hAnsi="Arial" w:cs="Arial"/>
          <w:b/>
          <w:bCs/>
          <w:color w:val="auto"/>
          <w:lang w:val="pt-BR"/>
        </w:rPr>
      </w:pPr>
    </w:p>
    <w:p w14:paraId="35A19125">
      <w:pPr>
        <w:keepNext w:val="0"/>
        <w:keepLines w:val="0"/>
        <w:pageBreakBefore w:val="0"/>
        <w:widowControl/>
        <w:numPr>
          <w:ilvl w:val="0"/>
          <w:numId w:val="0"/>
        </w:numPr>
        <w:kinsoku/>
        <w:wordWrap/>
        <w:overflowPunct/>
        <w:topLinePunct w:val="0"/>
        <w:autoSpaceDE/>
        <w:autoSpaceDN/>
        <w:bidi w:val="0"/>
        <w:adjustRightInd/>
        <w:snapToGrid/>
        <w:spacing w:line="288" w:lineRule="auto"/>
        <w:ind w:leftChars="0"/>
        <w:jc w:val="both"/>
        <w:textAlignment w:val="auto"/>
        <w:rPr>
          <w:rFonts w:hint="default" w:eastAsia="Arial" w:cs="Arial"/>
          <w:b/>
          <w:bCs/>
          <w:i w:val="0"/>
          <w:iCs w:val="0"/>
          <w:caps w:val="0"/>
          <w:color w:val="001D35"/>
          <w:spacing w:val="0"/>
          <w:sz w:val="24"/>
          <w:szCs w:val="24"/>
          <w:shd w:val="clear" w:fill="FFFFFF"/>
          <w:lang w:val="pt-BR"/>
        </w:rPr>
      </w:pPr>
      <w:r>
        <w:rPr>
          <w:rFonts w:hint="default" w:eastAsia="Arial" w:cs="Arial"/>
          <w:b/>
          <w:bCs/>
          <w:i w:val="0"/>
          <w:iCs w:val="0"/>
          <w:caps w:val="0"/>
          <w:color w:val="001D35"/>
          <w:spacing w:val="0"/>
          <w:sz w:val="24"/>
          <w:szCs w:val="24"/>
          <w:shd w:val="clear" w:fill="FFFFFF"/>
          <w:lang w:val="pt-BR"/>
        </w:rPr>
        <w:t>2.10. O Município Obriga-se:</w:t>
      </w:r>
    </w:p>
    <w:p w14:paraId="761CB334">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O Município efetuará o recebimento dos produtos, verificando se os mesmos estão em conformidade com o solicitado, por meio de fiscal, formalmente nomeado para esse</w:t>
      </w:r>
      <w:r>
        <w:rPr>
          <w:rFonts w:hint="default" w:ascii="Arial" w:hAnsi="Arial" w:cs="Arial"/>
          <w:spacing w:val="40"/>
        </w:rPr>
        <w:t xml:space="preserve"> </w:t>
      </w:r>
      <w:r>
        <w:rPr>
          <w:rFonts w:hint="default" w:ascii="Arial" w:hAnsi="Arial" w:cs="Arial"/>
        </w:rPr>
        <w:t xml:space="preserve">fim; </w:t>
      </w:r>
    </w:p>
    <w:p w14:paraId="0E6EAA24">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O Município comunicará imediatamente à contratada qualquer irregularidade verificada na execução dos serviços fornecidos;</w:t>
      </w:r>
    </w:p>
    <w:p w14:paraId="28F8A71C">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O Município efetuará o pagamento à contratada, de acordo com as condições de preços e prazo estabelecido na nota de empenho ou no contrato;</w:t>
      </w:r>
    </w:p>
    <w:p w14:paraId="4FC70589">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O</w:t>
      </w:r>
      <w:r>
        <w:rPr>
          <w:rFonts w:hint="default" w:ascii="Arial" w:hAnsi="Arial" w:cs="Arial"/>
          <w:spacing w:val="-1"/>
        </w:rPr>
        <w:t xml:space="preserve"> </w:t>
      </w:r>
      <w:r>
        <w:rPr>
          <w:rFonts w:hint="default" w:ascii="Arial" w:hAnsi="Arial" w:cs="Arial"/>
        </w:rPr>
        <w:t>Município</w:t>
      </w:r>
      <w:r>
        <w:rPr>
          <w:rFonts w:hint="default" w:ascii="Arial" w:hAnsi="Arial" w:cs="Arial"/>
          <w:spacing w:val="-1"/>
        </w:rPr>
        <w:t xml:space="preserve"> </w:t>
      </w:r>
      <w:r>
        <w:rPr>
          <w:rFonts w:hint="default" w:ascii="Arial" w:hAnsi="Arial" w:cs="Arial"/>
        </w:rPr>
        <w:t>garantirá</w:t>
      </w:r>
      <w:r>
        <w:rPr>
          <w:rFonts w:hint="default" w:ascii="Arial" w:hAnsi="Arial" w:cs="Arial"/>
          <w:spacing w:val="-1"/>
        </w:rPr>
        <w:t xml:space="preserve"> </w:t>
      </w:r>
      <w:r>
        <w:rPr>
          <w:rFonts w:hint="default" w:ascii="Arial" w:hAnsi="Arial" w:cs="Arial"/>
        </w:rPr>
        <w:t>o</w:t>
      </w:r>
      <w:r>
        <w:rPr>
          <w:rFonts w:hint="default" w:ascii="Arial" w:hAnsi="Arial" w:cs="Arial"/>
          <w:spacing w:val="-1"/>
        </w:rPr>
        <w:t xml:space="preserve"> </w:t>
      </w:r>
      <w:r>
        <w:rPr>
          <w:rFonts w:hint="default" w:ascii="Arial" w:hAnsi="Arial" w:cs="Arial"/>
        </w:rPr>
        <w:t>cumprimento</w:t>
      </w:r>
      <w:r>
        <w:rPr>
          <w:rFonts w:hint="default" w:ascii="Arial" w:hAnsi="Arial" w:cs="Arial"/>
          <w:spacing w:val="-1"/>
        </w:rPr>
        <w:t xml:space="preserve"> </w:t>
      </w:r>
      <w:r>
        <w:rPr>
          <w:rFonts w:hint="default" w:ascii="Arial" w:hAnsi="Arial" w:cs="Arial"/>
        </w:rPr>
        <w:t>de</w:t>
      </w:r>
      <w:r>
        <w:rPr>
          <w:rFonts w:hint="default" w:ascii="Arial" w:hAnsi="Arial" w:cs="Arial"/>
          <w:spacing w:val="-1"/>
        </w:rPr>
        <w:t xml:space="preserve"> </w:t>
      </w:r>
      <w:r>
        <w:rPr>
          <w:rFonts w:hint="default" w:ascii="Arial" w:hAnsi="Arial" w:cs="Arial"/>
        </w:rPr>
        <w:t>todas</w:t>
      </w:r>
      <w:r>
        <w:rPr>
          <w:rFonts w:hint="default" w:ascii="Arial" w:hAnsi="Arial" w:cs="Arial"/>
          <w:spacing w:val="-1"/>
        </w:rPr>
        <w:t xml:space="preserve"> </w:t>
      </w:r>
      <w:r>
        <w:rPr>
          <w:rFonts w:hint="default" w:ascii="Arial" w:hAnsi="Arial" w:cs="Arial"/>
        </w:rPr>
        <w:t>as</w:t>
      </w:r>
      <w:r>
        <w:rPr>
          <w:rFonts w:hint="default" w:ascii="Arial" w:hAnsi="Arial" w:cs="Arial"/>
          <w:spacing w:val="-1"/>
        </w:rPr>
        <w:t xml:space="preserve"> </w:t>
      </w:r>
      <w:r>
        <w:rPr>
          <w:rFonts w:hint="default" w:ascii="Arial" w:hAnsi="Arial" w:cs="Arial"/>
        </w:rPr>
        <w:t>cláusulas</w:t>
      </w:r>
      <w:r>
        <w:rPr>
          <w:rFonts w:hint="default" w:ascii="Arial" w:hAnsi="Arial" w:cs="Arial"/>
          <w:spacing w:val="-1"/>
        </w:rPr>
        <w:t xml:space="preserve"> </w:t>
      </w:r>
      <w:r>
        <w:rPr>
          <w:rFonts w:hint="default" w:ascii="Arial" w:hAnsi="Arial" w:cs="Arial"/>
        </w:rPr>
        <w:t>contratuais</w:t>
      </w:r>
      <w:r>
        <w:rPr>
          <w:rFonts w:hint="default" w:ascii="Arial" w:hAnsi="Arial" w:cs="Arial"/>
          <w:spacing w:val="-1"/>
        </w:rPr>
        <w:t xml:space="preserve"> </w:t>
      </w:r>
      <w:r>
        <w:rPr>
          <w:rFonts w:hint="default" w:ascii="Arial" w:hAnsi="Arial" w:cs="Arial"/>
        </w:rPr>
        <w:t>necessárias</w:t>
      </w:r>
      <w:r>
        <w:rPr>
          <w:rFonts w:hint="default" w:ascii="Arial" w:hAnsi="Arial" w:cs="Arial"/>
          <w:spacing w:val="-1"/>
        </w:rPr>
        <w:t xml:space="preserve"> </w:t>
      </w:r>
      <w:r>
        <w:rPr>
          <w:rFonts w:hint="default" w:ascii="Arial" w:hAnsi="Arial" w:cs="Arial"/>
        </w:rPr>
        <w:t>ao bom desempenho da prestação dos serviços, objeto desta contratação.</w:t>
      </w:r>
      <w:r>
        <w:rPr>
          <w:rFonts w:hint="default" w:ascii="Arial" w:hAnsi="Arial" w:cs="Arial"/>
          <w:lang w:val="pt-BR"/>
        </w:rPr>
        <w:t>;</w:t>
      </w:r>
    </w:p>
    <w:p w14:paraId="6FB53FF9">
      <w:pPr>
        <w:pStyle w:val="17"/>
        <w:numPr>
          <w:ilvl w:val="0"/>
          <w:numId w:val="15"/>
        </w:numPr>
        <w:spacing w:before="240" w:line="288" w:lineRule="auto"/>
        <w:ind w:left="420" w:leftChars="0" w:right="0" w:rightChars="0" w:hanging="420" w:firstLineChars="0"/>
        <w:jc w:val="both"/>
        <w:rPr>
          <w:rFonts w:hint="default" w:ascii="Arial" w:hAnsi="Arial" w:cs="Arial"/>
        </w:rPr>
      </w:pPr>
      <w:r>
        <w:rPr>
          <w:rFonts w:hint="default" w:ascii="Arial" w:hAnsi="Arial" w:cs="Arial"/>
        </w:rPr>
        <w:t>O Município fiscalizará as obrigações da contratada de manter, durante todas a execução do contrato, em compatibilidade com as obrigações assumidas, as condições de habilitação e qualificação exigidas na licitação.</w:t>
      </w:r>
    </w:p>
    <w:p w14:paraId="3008444B">
      <w:pPr>
        <w:pStyle w:val="58"/>
        <w:numPr>
          <w:ilvl w:val="0"/>
          <w:numId w:val="16"/>
        </w:numPr>
        <w:pBdr>
          <w:bottom w:val="single" w:color="000000" w:sz="4" w:space="1"/>
        </w:pBdr>
        <w:suppressAutoHyphens/>
        <w:ind w:left="0" w:right="1034" w:firstLine="0"/>
      </w:pPr>
      <w:r>
        <w:rPr>
          <w:color w:val="111111"/>
        </w:rPr>
        <w:t>Tabela com itens, quantidades e periodicidade para cada órgão</w:t>
      </w:r>
      <w:r>
        <w:rPr>
          <w:b w:val="0"/>
          <w:bCs w:val="0"/>
          <w:color w:val="111111"/>
        </w:rPr>
        <w:t xml:space="preserve"> </w:t>
      </w:r>
    </w:p>
    <w:p w14:paraId="342FB8AD">
      <w:pPr>
        <w:pStyle w:val="17"/>
        <w:spacing w:before="7" w:after="0"/>
        <w:rPr>
          <w:rFonts w:ascii="Arial" w:hAnsi="Arial" w:cs="Arial"/>
          <w:sz w:val="10"/>
          <w:szCs w:val="10"/>
        </w:rPr>
      </w:pPr>
    </w:p>
    <w:p w14:paraId="56A1E07E">
      <w:pPr>
        <w:pStyle w:val="17"/>
        <w:spacing w:before="81" w:after="0"/>
        <w:jc w:val="center"/>
        <w:rPr>
          <w:rFonts w:ascii="Arial" w:hAnsi="Arial" w:cs="Arial"/>
          <w:b/>
          <w:sz w:val="10"/>
          <w:szCs w:val="10"/>
          <w:lang w:val="pt-BR"/>
        </w:rPr>
      </w:pPr>
    </w:p>
    <w:p w14:paraId="05005E57">
      <w:pPr>
        <w:spacing w:before="0" w:after="0" w:line="276" w:lineRule="auto"/>
        <w:jc w:val="both"/>
        <w:rPr>
          <w:rFonts w:ascii="Arial" w:hAnsi="Arial" w:cs="Arial"/>
          <w:b/>
          <w:sz w:val="10"/>
          <w:szCs w:val="10"/>
        </w:rPr>
      </w:pPr>
    </w:p>
    <w:tbl>
      <w:tblPr>
        <w:tblStyle w:val="27"/>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2531"/>
        <w:gridCol w:w="992"/>
        <w:gridCol w:w="920"/>
        <w:gridCol w:w="1206"/>
        <w:gridCol w:w="992"/>
        <w:gridCol w:w="993"/>
        <w:gridCol w:w="985"/>
        <w:gridCol w:w="7"/>
      </w:tblGrid>
      <w:tr w14:paraId="3C80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shd w:val="clear" w:color="auto" w:fill="AAAAC6"/>
          </w:tcPr>
          <w:p w14:paraId="7922E56B">
            <w:pPr>
              <w:spacing w:before="0" w:after="0" w:line="240" w:lineRule="auto"/>
              <w:jc w:val="center"/>
              <w:rPr>
                <w:b/>
                <w:bCs/>
                <w:sz w:val="20"/>
                <w:szCs w:val="20"/>
              </w:rPr>
            </w:pPr>
            <w:r>
              <w:rPr>
                <w:b/>
                <w:bCs/>
                <w:sz w:val="20"/>
                <w:szCs w:val="20"/>
              </w:rPr>
              <w:t>ITEM</w:t>
            </w:r>
          </w:p>
        </w:tc>
        <w:tc>
          <w:tcPr>
            <w:tcW w:w="2531" w:type="dxa"/>
            <w:shd w:val="clear" w:color="auto" w:fill="AAAAC6"/>
          </w:tcPr>
          <w:p w14:paraId="4AC83846">
            <w:pPr>
              <w:spacing w:before="0" w:after="0" w:line="240" w:lineRule="auto"/>
              <w:jc w:val="center"/>
              <w:rPr>
                <w:b/>
                <w:bCs/>
                <w:sz w:val="20"/>
                <w:szCs w:val="20"/>
              </w:rPr>
            </w:pPr>
            <w:r>
              <w:rPr>
                <w:b/>
                <w:bCs/>
                <w:sz w:val="20"/>
                <w:szCs w:val="20"/>
              </w:rPr>
              <w:t xml:space="preserve">DESCRIÇÃO </w:t>
            </w:r>
          </w:p>
        </w:tc>
        <w:tc>
          <w:tcPr>
            <w:tcW w:w="6095" w:type="dxa"/>
            <w:gridSpan w:val="7"/>
            <w:shd w:val="clear" w:color="auto" w:fill="AAAAC6"/>
          </w:tcPr>
          <w:p w14:paraId="7E23BFC0">
            <w:pPr>
              <w:suppressAutoHyphens/>
              <w:spacing w:before="0" w:after="0" w:line="240" w:lineRule="auto"/>
              <w:jc w:val="center"/>
              <w:rPr>
                <w:b/>
                <w:bCs/>
                <w:sz w:val="20"/>
                <w:szCs w:val="20"/>
              </w:rPr>
            </w:pPr>
            <w:r>
              <w:rPr>
                <w:b/>
                <w:bCs/>
                <w:sz w:val="20"/>
                <w:szCs w:val="20"/>
              </w:rPr>
              <w:t xml:space="preserve">QUANTIDADE </w:t>
            </w:r>
          </w:p>
          <w:p w14:paraId="1FB58AEE">
            <w:pPr>
              <w:suppressAutoHyphens/>
              <w:spacing w:before="0" w:after="0" w:line="240" w:lineRule="auto"/>
              <w:jc w:val="center"/>
              <w:rPr>
                <w:b/>
                <w:bCs/>
                <w:sz w:val="20"/>
                <w:szCs w:val="20"/>
              </w:rPr>
            </w:pPr>
          </w:p>
        </w:tc>
      </w:tr>
      <w:tr w14:paraId="3D79D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725" w:type="dxa"/>
            <w:vMerge w:val="restart"/>
          </w:tcPr>
          <w:p w14:paraId="57A11C05">
            <w:pPr>
              <w:suppressAutoHyphens/>
              <w:spacing w:before="0" w:after="0" w:line="240" w:lineRule="auto"/>
              <w:jc w:val="center"/>
              <w:rPr>
                <w:rFonts w:hint="default" w:eastAsia="SimSun"/>
                <w:b w:val="0"/>
                <w:bCs/>
                <w:sz w:val="15"/>
                <w:szCs w:val="15"/>
                <w:lang w:val="pt-BR" w:eastAsia="zh-CN" w:bidi="hi-IN"/>
              </w:rPr>
            </w:pPr>
          </w:p>
          <w:p w14:paraId="024A7668">
            <w:pPr>
              <w:suppressAutoHyphens/>
              <w:spacing w:before="0" w:after="0" w:line="240" w:lineRule="auto"/>
              <w:jc w:val="center"/>
              <w:rPr>
                <w:rFonts w:hint="default" w:eastAsia="SimSun"/>
                <w:b w:val="0"/>
                <w:bCs/>
                <w:sz w:val="15"/>
                <w:szCs w:val="15"/>
                <w:lang w:val="pt-BR" w:eastAsia="zh-CN" w:bidi="hi-IN"/>
              </w:rPr>
            </w:pPr>
          </w:p>
          <w:p w14:paraId="0D4BBCE1">
            <w:pPr>
              <w:suppressAutoHyphens/>
              <w:spacing w:before="0" w:after="0" w:line="240" w:lineRule="auto"/>
              <w:jc w:val="center"/>
              <w:rPr>
                <w:rFonts w:hint="default" w:eastAsia="SimSun"/>
                <w:b w:val="0"/>
                <w:bCs/>
                <w:sz w:val="15"/>
                <w:szCs w:val="15"/>
                <w:lang w:val="pt-BR" w:eastAsia="zh-CN" w:bidi="hi-IN"/>
              </w:rPr>
            </w:pPr>
          </w:p>
          <w:p w14:paraId="03D0A33E">
            <w:pPr>
              <w:suppressAutoHyphens/>
              <w:spacing w:before="0" w:after="0" w:line="240" w:lineRule="auto"/>
              <w:jc w:val="center"/>
              <w:rPr>
                <w:rFonts w:hint="default" w:eastAsia="SimSun"/>
                <w:b w:val="0"/>
                <w:bCs/>
                <w:sz w:val="15"/>
                <w:szCs w:val="15"/>
                <w:lang w:val="pt-BR" w:eastAsia="zh-CN" w:bidi="hi-IN"/>
              </w:rPr>
            </w:pPr>
          </w:p>
          <w:p w14:paraId="7B72E647">
            <w:pPr>
              <w:suppressAutoHyphens/>
              <w:spacing w:before="0" w:after="0" w:line="240" w:lineRule="auto"/>
              <w:jc w:val="center"/>
              <w:rPr>
                <w:rFonts w:hint="default" w:eastAsia="SimSun"/>
                <w:b w:val="0"/>
                <w:bCs/>
                <w:sz w:val="15"/>
                <w:szCs w:val="15"/>
                <w:lang w:val="pt-BR" w:eastAsia="zh-CN" w:bidi="hi-IN"/>
              </w:rPr>
            </w:pPr>
          </w:p>
          <w:p w14:paraId="5D6D855C">
            <w:pPr>
              <w:suppressAutoHyphens/>
              <w:spacing w:before="0" w:after="0" w:line="240" w:lineRule="auto"/>
              <w:jc w:val="center"/>
              <w:rPr>
                <w:rFonts w:hint="default" w:eastAsia="SimSun"/>
                <w:b w:val="0"/>
                <w:bCs/>
                <w:sz w:val="15"/>
                <w:szCs w:val="15"/>
                <w:lang w:val="pt-BR" w:eastAsia="zh-CN" w:bidi="hi-IN"/>
              </w:rPr>
            </w:pPr>
          </w:p>
          <w:p w14:paraId="647DFA86">
            <w:pPr>
              <w:suppressAutoHyphens/>
              <w:spacing w:before="0" w:after="0" w:line="240" w:lineRule="auto"/>
              <w:jc w:val="center"/>
              <w:rPr>
                <w:rFonts w:hint="default" w:eastAsia="SimSun"/>
                <w:b w:val="0"/>
                <w:bCs/>
                <w:sz w:val="15"/>
                <w:szCs w:val="15"/>
                <w:lang w:val="pt-BR" w:eastAsia="zh-CN" w:bidi="hi-IN"/>
              </w:rPr>
            </w:pPr>
          </w:p>
          <w:p w14:paraId="1A3D1B26">
            <w:pPr>
              <w:suppressAutoHyphens/>
              <w:spacing w:before="0" w:after="0" w:line="240" w:lineRule="auto"/>
              <w:jc w:val="center"/>
              <w:rPr>
                <w:rFonts w:hint="default" w:eastAsia="SimSun"/>
                <w:b/>
                <w:sz w:val="15"/>
                <w:szCs w:val="15"/>
                <w:lang w:val="pt-BR" w:eastAsia="zh-CN" w:bidi="hi-IN"/>
              </w:rPr>
            </w:pPr>
            <w:r>
              <w:rPr>
                <w:rFonts w:hint="default" w:eastAsia="SimSun"/>
                <w:b w:val="0"/>
                <w:bCs/>
                <w:sz w:val="15"/>
                <w:szCs w:val="15"/>
                <w:lang w:val="pt-BR" w:eastAsia="zh-CN" w:bidi="hi-IN"/>
              </w:rPr>
              <w:t>01</w:t>
            </w:r>
          </w:p>
        </w:tc>
        <w:tc>
          <w:tcPr>
            <w:tcW w:w="2531" w:type="dxa"/>
            <w:vMerge w:val="restart"/>
          </w:tcPr>
          <w:p w14:paraId="07155485">
            <w:pPr>
              <w:pStyle w:val="147"/>
              <w:spacing w:line="288" w:lineRule="auto"/>
              <w:ind w:left="12" w:right="1"/>
              <w:jc w:val="both"/>
              <w:rPr>
                <w:rFonts w:hint="default" w:ascii="Arial" w:hAnsi="Arial" w:cs="Arial"/>
                <w:sz w:val="16"/>
                <w:szCs w:val="16"/>
              </w:rPr>
            </w:pPr>
          </w:p>
          <w:p w14:paraId="13F8D192">
            <w:pPr>
              <w:pStyle w:val="147"/>
              <w:spacing w:line="288" w:lineRule="auto"/>
              <w:ind w:left="12" w:right="1"/>
              <w:jc w:val="both"/>
              <w:rPr>
                <w:rFonts w:hint="default" w:ascii="Arial" w:hAnsi="Arial" w:cs="Arial"/>
                <w:sz w:val="16"/>
                <w:szCs w:val="16"/>
              </w:rPr>
            </w:pPr>
          </w:p>
          <w:p w14:paraId="6154DE99">
            <w:pPr>
              <w:pStyle w:val="147"/>
              <w:spacing w:line="288" w:lineRule="auto"/>
              <w:ind w:left="12" w:right="1"/>
              <w:jc w:val="both"/>
              <w:rPr>
                <w:rFonts w:hint="default" w:ascii="Arial" w:hAnsi="Arial" w:cs="Arial"/>
                <w:sz w:val="16"/>
                <w:szCs w:val="16"/>
              </w:rPr>
            </w:pPr>
          </w:p>
          <w:p w14:paraId="252D6106">
            <w:pPr>
              <w:pStyle w:val="147"/>
              <w:spacing w:line="288" w:lineRule="auto"/>
              <w:ind w:left="12" w:right="1"/>
              <w:jc w:val="both"/>
              <w:rPr>
                <w:rFonts w:hint="default" w:ascii="Arial" w:hAnsi="Arial" w:cs="Arial"/>
                <w:sz w:val="16"/>
                <w:szCs w:val="16"/>
              </w:rPr>
            </w:pPr>
          </w:p>
          <w:p w14:paraId="35473C4C">
            <w:pPr>
              <w:pStyle w:val="147"/>
              <w:spacing w:line="288" w:lineRule="auto"/>
              <w:ind w:left="12" w:right="1"/>
              <w:jc w:val="both"/>
              <w:rPr>
                <w:rFonts w:hint="default" w:ascii="Arial" w:hAnsi="Arial" w:cs="Arial"/>
                <w:b/>
                <w:sz w:val="15"/>
                <w:szCs w:val="15"/>
                <w:lang w:val="pt-BR"/>
              </w:rPr>
            </w:pPr>
            <w:r>
              <w:rPr>
                <w:rFonts w:hint="default" w:ascii="Arial" w:hAnsi="Arial" w:cs="Arial"/>
                <w:sz w:val="16"/>
                <w:szCs w:val="16"/>
              </w:rPr>
              <w:t>Massa</w:t>
            </w:r>
            <w:r>
              <w:rPr>
                <w:rFonts w:hint="default" w:ascii="Arial" w:hAnsi="Arial" w:cs="Arial"/>
                <w:spacing w:val="-14"/>
                <w:sz w:val="16"/>
                <w:szCs w:val="16"/>
              </w:rPr>
              <w:t xml:space="preserve"> </w:t>
            </w:r>
            <w:r>
              <w:rPr>
                <w:rFonts w:hint="default" w:ascii="Arial" w:hAnsi="Arial" w:cs="Arial"/>
                <w:sz w:val="16"/>
                <w:szCs w:val="16"/>
              </w:rPr>
              <w:t>asfáltica usinada a</w:t>
            </w:r>
            <w:r>
              <w:rPr>
                <w:rFonts w:hint="default" w:ascii="Arial" w:hAnsi="Arial" w:cs="Arial"/>
                <w:sz w:val="16"/>
                <w:szCs w:val="16"/>
                <w:lang w:val="pt-BR"/>
              </w:rPr>
              <w:t xml:space="preserve"> </w:t>
            </w:r>
            <w:r>
              <w:rPr>
                <w:rFonts w:hint="default" w:ascii="Arial" w:hAnsi="Arial" w:cs="Arial"/>
                <w:sz w:val="16"/>
                <w:szCs w:val="16"/>
              </w:rPr>
              <w:t>Quente (CBUQ) para</w:t>
            </w:r>
            <w:r>
              <w:rPr>
                <w:rFonts w:hint="default" w:ascii="Arial" w:hAnsi="Arial" w:cs="Arial"/>
                <w:spacing w:val="-5"/>
                <w:sz w:val="16"/>
                <w:szCs w:val="16"/>
              </w:rPr>
              <w:t xml:space="preserve"> </w:t>
            </w:r>
            <w:r>
              <w:rPr>
                <w:rFonts w:hint="default" w:ascii="Arial" w:hAnsi="Arial" w:cs="Arial"/>
                <w:sz w:val="16"/>
                <w:szCs w:val="16"/>
              </w:rPr>
              <w:t>aplicação</w:t>
            </w:r>
            <w:r>
              <w:rPr>
                <w:rFonts w:hint="default" w:ascii="Arial" w:hAnsi="Arial" w:cs="Arial"/>
                <w:spacing w:val="-5"/>
                <w:sz w:val="16"/>
                <w:szCs w:val="16"/>
              </w:rPr>
              <w:t xml:space="preserve"> </w:t>
            </w:r>
            <w:r>
              <w:rPr>
                <w:rFonts w:hint="default" w:ascii="Arial" w:hAnsi="Arial" w:cs="Arial"/>
                <w:spacing w:val="-10"/>
                <w:sz w:val="16"/>
                <w:szCs w:val="16"/>
              </w:rPr>
              <w:t>à</w:t>
            </w:r>
            <w:r>
              <w:rPr>
                <w:rFonts w:hint="default" w:ascii="Arial" w:hAnsi="Arial" w:cs="Arial"/>
                <w:spacing w:val="-10"/>
                <w:sz w:val="16"/>
                <w:szCs w:val="16"/>
                <w:lang w:val="pt-BR"/>
              </w:rPr>
              <w:t xml:space="preserve"> </w:t>
            </w:r>
            <w:r>
              <w:rPr>
                <w:rFonts w:hint="default" w:ascii="Arial" w:hAnsi="Arial" w:cs="Arial"/>
                <w:sz w:val="16"/>
                <w:szCs w:val="16"/>
              </w:rPr>
              <w:t xml:space="preserve">frio - </w:t>
            </w:r>
            <w:r>
              <w:rPr>
                <w:rFonts w:hint="default" w:ascii="Arial" w:hAnsi="Arial" w:cs="Arial"/>
                <w:spacing w:val="-2"/>
                <w:sz w:val="16"/>
                <w:szCs w:val="16"/>
              </w:rPr>
              <w:t xml:space="preserve">acondicionados </w:t>
            </w:r>
            <w:r>
              <w:rPr>
                <w:rFonts w:hint="default" w:ascii="Arial" w:hAnsi="Arial" w:cs="Arial"/>
                <w:sz w:val="16"/>
                <w:szCs w:val="16"/>
              </w:rPr>
              <w:t>em sacos</w:t>
            </w:r>
            <w:r>
              <w:rPr>
                <w:rFonts w:hint="default" w:ascii="Arial" w:hAnsi="Arial" w:cs="Arial"/>
                <w:sz w:val="16"/>
                <w:szCs w:val="16"/>
                <w:lang w:val="pt-BR"/>
              </w:rPr>
              <w:t xml:space="preserve"> </w:t>
            </w:r>
            <w:r>
              <w:rPr>
                <w:rFonts w:hint="default" w:ascii="Arial" w:hAnsi="Arial" w:cs="Arial"/>
                <w:sz w:val="16"/>
                <w:szCs w:val="16"/>
              </w:rPr>
              <w:t>de</w:t>
            </w:r>
            <w:r>
              <w:rPr>
                <w:rFonts w:hint="default" w:ascii="Arial" w:hAnsi="Arial" w:cs="Arial"/>
                <w:spacing w:val="-1"/>
                <w:sz w:val="16"/>
                <w:szCs w:val="16"/>
              </w:rPr>
              <w:t xml:space="preserve"> </w:t>
            </w:r>
            <w:r>
              <w:rPr>
                <w:rFonts w:hint="default" w:ascii="Arial" w:hAnsi="Arial" w:cs="Arial"/>
                <w:sz w:val="16"/>
                <w:szCs w:val="16"/>
              </w:rPr>
              <w:t>25</w:t>
            </w:r>
            <w:r>
              <w:rPr>
                <w:rFonts w:hint="default" w:ascii="Arial" w:hAnsi="Arial" w:cs="Arial"/>
                <w:spacing w:val="-1"/>
                <w:sz w:val="16"/>
                <w:szCs w:val="16"/>
              </w:rPr>
              <w:t xml:space="preserve"> </w:t>
            </w:r>
            <w:r>
              <w:rPr>
                <w:rFonts w:hint="default" w:ascii="Arial" w:hAnsi="Arial" w:cs="Arial"/>
                <w:spacing w:val="-2"/>
                <w:sz w:val="16"/>
                <w:szCs w:val="16"/>
              </w:rPr>
              <w:t>quilos</w:t>
            </w:r>
            <w:r>
              <w:rPr>
                <w:rFonts w:hint="default" w:ascii="Arial" w:hAnsi="Arial" w:cs="Arial"/>
                <w:color w:val="000000"/>
                <w:sz w:val="16"/>
                <w:szCs w:val="16"/>
              </w:rPr>
              <w:t xml:space="preserve"> </w:t>
            </w:r>
            <w:r>
              <w:rPr>
                <w:rFonts w:hint="default" w:ascii="Arial" w:hAnsi="Arial" w:cs="Arial"/>
                <w:color w:val="000000"/>
                <w:sz w:val="16"/>
                <w:szCs w:val="16"/>
                <w:lang w:val="pt-BR"/>
              </w:rPr>
              <w:t>.</w:t>
            </w:r>
          </w:p>
        </w:tc>
        <w:tc>
          <w:tcPr>
            <w:tcW w:w="992" w:type="dxa"/>
          </w:tcPr>
          <w:p w14:paraId="08E111FE">
            <w:pPr>
              <w:spacing w:before="0" w:after="0" w:line="240" w:lineRule="auto"/>
              <w:jc w:val="center"/>
              <w:rPr>
                <w:b/>
                <w:sz w:val="15"/>
                <w:szCs w:val="15"/>
              </w:rPr>
            </w:pPr>
            <w:r>
              <w:rPr>
                <w:b/>
                <w:sz w:val="15"/>
                <w:szCs w:val="15"/>
              </w:rPr>
              <w:t>Unid.</w:t>
            </w:r>
          </w:p>
        </w:tc>
        <w:tc>
          <w:tcPr>
            <w:tcW w:w="920" w:type="dxa"/>
          </w:tcPr>
          <w:p w14:paraId="3D7C03B5">
            <w:pPr>
              <w:spacing w:before="0" w:after="0" w:line="240" w:lineRule="auto"/>
              <w:jc w:val="center"/>
              <w:rPr>
                <w:sz w:val="15"/>
                <w:szCs w:val="15"/>
              </w:rPr>
            </w:pPr>
            <w:r>
              <w:rPr>
                <w:sz w:val="15"/>
                <w:szCs w:val="15"/>
              </w:rPr>
              <w:t>Registrada</w:t>
            </w:r>
          </w:p>
        </w:tc>
        <w:tc>
          <w:tcPr>
            <w:tcW w:w="1206" w:type="dxa"/>
          </w:tcPr>
          <w:p w14:paraId="59A706B3">
            <w:pPr>
              <w:spacing w:before="0" w:after="0" w:line="240" w:lineRule="auto"/>
              <w:jc w:val="center"/>
              <w:rPr>
                <w:sz w:val="15"/>
                <w:szCs w:val="15"/>
              </w:rPr>
            </w:pPr>
            <w:r>
              <w:rPr>
                <w:sz w:val="15"/>
                <w:szCs w:val="15"/>
              </w:rPr>
              <w:t>Inicial a ser adquirida</w:t>
            </w:r>
          </w:p>
        </w:tc>
        <w:tc>
          <w:tcPr>
            <w:tcW w:w="992" w:type="dxa"/>
          </w:tcPr>
          <w:p w14:paraId="77B8F9F5">
            <w:pPr>
              <w:spacing w:before="0" w:after="0" w:line="240" w:lineRule="auto"/>
              <w:jc w:val="center"/>
              <w:rPr>
                <w:sz w:val="15"/>
                <w:szCs w:val="15"/>
              </w:rPr>
            </w:pPr>
            <w:r>
              <w:rPr>
                <w:sz w:val="15"/>
                <w:szCs w:val="15"/>
              </w:rPr>
              <w:t>Periodicidade</w:t>
            </w:r>
          </w:p>
        </w:tc>
        <w:tc>
          <w:tcPr>
            <w:tcW w:w="993" w:type="dxa"/>
          </w:tcPr>
          <w:p w14:paraId="0E5A32A7">
            <w:pPr>
              <w:spacing w:before="0" w:after="0" w:line="240" w:lineRule="auto"/>
              <w:jc w:val="center"/>
              <w:rPr>
                <w:sz w:val="15"/>
                <w:szCs w:val="15"/>
              </w:rPr>
            </w:pPr>
            <w:r>
              <w:rPr>
                <w:sz w:val="15"/>
                <w:szCs w:val="15"/>
              </w:rPr>
              <w:t>Estimadas por período</w:t>
            </w:r>
          </w:p>
        </w:tc>
        <w:tc>
          <w:tcPr>
            <w:tcW w:w="985" w:type="dxa"/>
          </w:tcPr>
          <w:p w14:paraId="3555F3E1">
            <w:pPr>
              <w:spacing w:before="0" w:after="0" w:line="240" w:lineRule="auto"/>
              <w:jc w:val="center"/>
              <w:rPr>
                <w:sz w:val="15"/>
                <w:szCs w:val="15"/>
              </w:rPr>
            </w:pPr>
            <w:r>
              <w:rPr>
                <w:sz w:val="15"/>
                <w:szCs w:val="15"/>
              </w:rPr>
              <w:t>Mínima por pedido</w:t>
            </w:r>
          </w:p>
        </w:tc>
      </w:tr>
      <w:tr w14:paraId="1DEA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725" w:type="dxa"/>
            <w:vMerge w:val="continue"/>
          </w:tcPr>
          <w:p w14:paraId="0611DBF8">
            <w:pPr>
              <w:spacing w:before="0" w:after="0" w:line="240" w:lineRule="auto"/>
              <w:jc w:val="center"/>
              <w:rPr>
                <w:sz w:val="15"/>
                <w:szCs w:val="15"/>
              </w:rPr>
            </w:pPr>
          </w:p>
        </w:tc>
        <w:tc>
          <w:tcPr>
            <w:tcW w:w="2531" w:type="dxa"/>
            <w:vMerge w:val="continue"/>
          </w:tcPr>
          <w:p w14:paraId="763062E7">
            <w:pPr>
              <w:spacing w:before="0" w:after="0" w:line="240" w:lineRule="auto"/>
              <w:rPr>
                <w:sz w:val="15"/>
                <w:szCs w:val="15"/>
              </w:rPr>
            </w:pPr>
          </w:p>
        </w:tc>
        <w:tc>
          <w:tcPr>
            <w:tcW w:w="992" w:type="dxa"/>
          </w:tcPr>
          <w:p w14:paraId="7F9577B6">
            <w:pPr>
              <w:suppressAutoHyphens/>
              <w:spacing w:before="0" w:after="0" w:line="240" w:lineRule="auto"/>
              <w:jc w:val="center"/>
              <w:rPr>
                <w:rFonts w:hint="default" w:eastAsia="SimSun"/>
                <w:sz w:val="15"/>
                <w:szCs w:val="15"/>
                <w:lang w:val="pt-BR" w:eastAsia="zh-CN" w:bidi="hi-IN"/>
              </w:rPr>
            </w:pPr>
          </w:p>
          <w:p w14:paraId="1AA04524">
            <w:pPr>
              <w:suppressAutoHyphens/>
              <w:spacing w:before="0" w:after="0" w:line="240" w:lineRule="auto"/>
              <w:jc w:val="center"/>
              <w:rPr>
                <w:rFonts w:hint="default" w:eastAsia="SimSun"/>
                <w:sz w:val="15"/>
                <w:szCs w:val="15"/>
                <w:lang w:val="pt-BR" w:eastAsia="zh-CN" w:bidi="hi-IN"/>
              </w:rPr>
            </w:pPr>
          </w:p>
          <w:p w14:paraId="492E5A3C">
            <w:pPr>
              <w:suppressAutoHyphens/>
              <w:spacing w:before="0" w:after="0" w:line="240" w:lineRule="auto"/>
              <w:jc w:val="center"/>
              <w:rPr>
                <w:rFonts w:hint="default" w:eastAsia="SimSun"/>
                <w:sz w:val="15"/>
                <w:szCs w:val="15"/>
                <w:lang w:val="pt-BR" w:eastAsia="zh-CN" w:bidi="hi-IN"/>
              </w:rPr>
            </w:pPr>
          </w:p>
          <w:p w14:paraId="797B5465">
            <w:pPr>
              <w:suppressAutoHyphens/>
              <w:spacing w:before="0" w:after="0" w:line="240" w:lineRule="auto"/>
              <w:jc w:val="center"/>
              <w:rPr>
                <w:rFonts w:hint="default" w:eastAsia="SimSun"/>
                <w:sz w:val="15"/>
                <w:szCs w:val="15"/>
                <w:lang w:val="pt-BR" w:eastAsia="zh-CN" w:bidi="hi-IN"/>
              </w:rPr>
            </w:pPr>
          </w:p>
          <w:p w14:paraId="73D56100">
            <w:pPr>
              <w:suppressAutoHyphens/>
              <w:spacing w:before="0" w:after="0" w:line="240" w:lineRule="auto"/>
              <w:jc w:val="center"/>
              <w:rPr>
                <w:rFonts w:hint="default" w:eastAsia="SimSun"/>
                <w:sz w:val="15"/>
                <w:szCs w:val="15"/>
                <w:lang w:val="pt-BR" w:eastAsia="zh-CN" w:bidi="hi-IN"/>
              </w:rPr>
            </w:pPr>
          </w:p>
          <w:p w14:paraId="394F1F65">
            <w:pPr>
              <w:suppressAutoHyphens/>
              <w:spacing w:before="0" w:after="0" w:line="240" w:lineRule="auto"/>
              <w:jc w:val="center"/>
              <w:rPr>
                <w:rFonts w:hint="default" w:eastAsia="SimSun"/>
                <w:sz w:val="15"/>
                <w:szCs w:val="15"/>
                <w:lang w:val="pt-BR" w:eastAsia="zh-CN" w:bidi="hi-IN"/>
              </w:rPr>
            </w:pPr>
            <w:r>
              <w:rPr>
                <w:rFonts w:hint="default" w:eastAsia="SimSun"/>
                <w:sz w:val="15"/>
                <w:szCs w:val="15"/>
                <w:lang w:val="pt-BR" w:eastAsia="zh-CN" w:bidi="hi-IN"/>
              </w:rPr>
              <w:t>Saco</w:t>
            </w:r>
          </w:p>
        </w:tc>
        <w:tc>
          <w:tcPr>
            <w:tcW w:w="920" w:type="dxa"/>
          </w:tcPr>
          <w:p w14:paraId="30393F2D">
            <w:pPr>
              <w:suppressAutoHyphens/>
              <w:spacing w:before="0" w:after="0" w:line="240" w:lineRule="auto"/>
              <w:jc w:val="center"/>
              <w:rPr>
                <w:rFonts w:hint="default" w:eastAsia="SimSun"/>
                <w:sz w:val="15"/>
                <w:szCs w:val="15"/>
                <w:lang w:val="pt-BR" w:eastAsia="zh-CN" w:bidi="hi-IN"/>
              </w:rPr>
            </w:pPr>
          </w:p>
          <w:p w14:paraId="0A1291F6">
            <w:pPr>
              <w:suppressAutoHyphens/>
              <w:spacing w:before="0" w:after="0" w:line="240" w:lineRule="auto"/>
              <w:jc w:val="center"/>
              <w:rPr>
                <w:rFonts w:hint="default" w:eastAsia="SimSun"/>
                <w:sz w:val="15"/>
                <w:szCs w:val="15"/>
                <w:lang w:val="pt-BR" w:eastAsia="zh-CN" w:bidi="hi-IN"/>
              </w:rPr>
            </w:pPr>
          </w:p>
          <w:p w14:paraId="609C1BFB">
            <w:pPr>
              <w:suppressAutoHyphens/>
              <w:spacing w:before="0" w:after="0" w:line="240" w:lineRule="auto"/>
              <w:jc w:val="center"/>
              <w:rPr>
                <w:rFonts w:hint="default" w:eastAsia="SimSun"/>
                <w:sz w:val="15"/>
                <w:szCs w:val="15"/>
                <w:lang w:val="pt-BR" w:eastAsia="zh-CN" w:bidi="hi-IN"/>
              </w:rPr>
            </w:pPr>
          </w:p>
          <w:p w14:paraId="76F2A465">
            <w:pPr>
              <w:suppressAutoHyphens/>
              <w:spacing w:before="0" w:after="0" w:line="240" w:lineRule="auto"/>
              <w:jc w:val="center"/>
              <w:rPr>
                <w:rFonts w:hint="default" w:eastAsia="SimSun"/>
                <w:sz w:val="15"/>
                <w:szCs w:val="15"/>
                <w:lang w:val="pt-BR" w:eastAsia="zh-CN" w:bidi="hi-IN"/>
              </w:rPr>
            </w:pPr>
          </w:p>
          <w:p w14:paraId="54377E06">
            <w:pPr>
              <w:suppressAutoHyphens/>
              <w:spacing w:before="0" w:after="0" w:line="240" w:lineRule="auto"/>
              <w:jc w:val="center"/>
              <w:rPr>
                <w:rFonts w:hint="default" w:eastAsia="SimSun"/>
                <w:sz w:val="15"/>
                <w:szCs w:val="15"/>
                <w:lang w:val="pt-BR" w:eastAsia="zh-CN" w:bidi="hi-IN"/>
              </w:rPr>
            </w:pPr>
          </w:p>
          <w:p w14:paraId="2B7439B0">
            <w:pPr>
              <w:suppressAutoHyphens/>
              <w:spacing w:before="0" w:after="0" w:line="240" w:lineRule="auto"/>
              <w:jc w:val="center"/>
              <w:rPr>
                <w:rFonts w:hint="default" w:eastAsia="SimSun"/>
                <w:sz w:val="15"/>
                <w:szCs w:val="15"/>
                <w:lang w:val="pt-BR" w:eastAsia="zh-CN" w:bidi="hi-IN"/>
              </w:rPr>
            </w:pPr>
            <w:r>
              <w:rPr>
                <w:rFonts w:hint="default" w:eastAsia="SimSun"/>
                <w:sz w:val="15"/>
                <w:szCs w:val="15"/>
                <w:lang w:val="pt-BR" w:eastAsia="zh-CN" w:bidi="hi-IN"/>
              </w:rPr>
              <w:t>20.000</w:t>
            </w:r>
          </w:p>
        </w:tc>
        <w:tc>
          <w:tcPr>
            <w:tcW w:w="1206" w:type="dxa"/>
          </w:tcPr>
          <w:p w14:paraId="4B8A0A6F">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713BDA26">
            <w:pPr>
              <w:suppressAutoHyphens/>
              <w:spacing w:before="0" w:after="0" w:line="240" w:lineRule="auto"/>
              <w:jc w:val="center"/>
              <w:rPr>
                <w:rFonts w:hint="default" w:ascii="Arial" w:hAnsi="Arial" w:eastAsia="SimSun" w:cs="Arial"/>
                <w:sz w:val="16"/>
                <w:szCs w:val="16"/>
                <w:lang w:val="pt-BR" w:eastAsia="zh-CN" w:bidi="hi-IN"/>
              </w:rPr>
            </w:pPr>
          </w:p>
        </w:tc>
        <w:tc>
          <w:tcPr>
            <w:tcW w:w="992" w:type="dxa"/>
          </w:tcPr>
          <w:p w14:paraId="580213D4">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57B0E790">
            <w:pPr>
              <w:suppressAutoHyphens/>
              <w:spacing w:before="0" w:after="0" w:line="240" w:lineRule="auto"/>
              <w:jc w:val="center"/>
              <w:rPr>
                <w:rFonts w:hint="default" w:ascii="Arial" w:hAnsi="Arial" w:eastAsia="SimSun" w:cs="Arial"/>
                <w:sz w:val="16"/>
                <w:szCs w:val="16"/>
                <w:lang w:eastAsia="zh-CN" w:bidi="hi-IN"/>
              </w:rPr>
            </w:pPr>
          </w:p>
        </w:tc>
        <w:tc>
          <w:tcPr>
            <w:tcW w:w="993" w:type="dxa"/>
          </w:tcPr>
          <w:p w14:paraId="5B3562E5">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189C0DA7">
            <w:pPr>
              <w:suppressAutoHyphens/>
              <w:spacing w:before="0" w:after="0" w:line="240" w:lineRule="auto"/>
              <w:jc w:val="center"/>
              <w:rPr>
                <w:rFonts w:hint="default" w:ascii="Arial" w:hAnsi="Arial" w:eastAsia="SimSun" w:cs="Arial"/>
                <w:sz w:val="16"/>
                <w:szCs w:val="16"/>
                <w:lang w:val="pt-BR" w:eastAsia="zh-CN" w:bidi="hi-IN"/>
              </w:rPr>
            </w:pPr>
          </w:p>
        </w:tc>
        <w:tc>
          <w:tcPr>
            <w:tcW w:w="985" w:type="dxa"/>
          </w:tcPr>
          <w:p w14:paraId="664831E2">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7C28F38F">
            <w:pPr>
              <w:suppressAutoHyphens/>
              <w:spacing w:before="0" w:after="0" w:line="240" w:lineRule="auto"/>
              <w:jc w:val="center"/>
              <w:rPr>
                <w:rFonts w:hint="default" w:ascii="Arial" w:hAnsi="Arial" w:cs="Arial"/>
                <w:sz w:val="16"/>
                <w:szCs w:val="16"/>
                <w:lang w:val="pt-BR"/>
              </w:rPr>
            </w:pPr>
          </w:p>
        </w:tc>
      </w:tr>
      <w:tr w14:paraId="1190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Pr>
        <w:tc>
          <w:tcPr>
            <w:tcW w:w="725" w:type="dxa"/>
          </w:tcPr>
          <w:p w14:paraId="75EA502D">
            <w:pPr>
              <w:spacing w:before="0" w:after="0" w:line="240" w:lineRule="auto"/>
              <w:jc w:val="center"/>
              <w:rPr>
                <w:rFonts w:hint="default"/>
                <w:sz w:val="15"/>
                <w:szCs w:val="15"/>
                <w:lang w:val="pt-BR"/>
              </w:rPr>
            </w:pPr>
          </w:p>
          <w:p w14:paraId="15F86DE6">
            <w:pPr>
              <w:spacing w:before="0" w:after="0" w:line="240" w:lineRule="auto"/>
              <w:jc w:val="center"/>
              <w:rPr>
                <w:rFonts w:hint="default"/>
                <w:sz w:val="15"/>
                <w:szCs w:val="15"/>
                <w:lang w:val="pt-BR"/>
              </w:rPr>
            </w:pPr>
          </w:p>
          <w:p w14:paraId="7EA8AB0B">
            <w:pPr>
              <w:spacing w:before="0" w:after="0" w:line="240" w:lineRule="auto"/>
              <w:jc w:val="center"/>
              <w:rPr>
                <w:rFonts w:hint="default"/>
                <w:sz w:val="15"/>
                <w:szCs w:val="15"/>
                <w:lang w:val="pt-BR"/>
              </w:rPr>
            </w:pPr>
          </w:p>
          <w:p w14:paraId="493D13B7">
            <w:pPr>
              <w:spacing w:before="0" w:after="0" w:line="240" w:lineRule="auto"/>
              <w:jc w:val="center"/>
              <w:rPr>
                <w:rFonts w:hint="default"/>
                <w:sz w:val="15"/>
                <w:szCs w:val="15"/>
                <w:lang w:val="pt-BR"/>
              </w:rPr>
            </w:pPr>
          </w:p>
          <w:p w14:paraId="65AAAC8A">
            <w:pPr>
              <w:spacing w:before="0" w:after="0" w:line="240" w:lineRule="auto"/>
              <w:jc w:val="center"/>
              <w:rPr>
                <w:rFonts w:hint="default"/>
                <w:sz w:val="15"/>
                <w:szCs w:val="15"/>
                <w:lang w:val="pt-BR"/>
              </w:rPr>
            </w:pPr>
          </w:p>
          <w:p w14:paraId="5670C9E5">
            <w:pPr>
              <w:spacing w:before="0" w:after="0" w:line="240" w:lineRule="auto"/>
              <w:jc w:val="center"/>
              <w:rPr>
                <w:rFonts w:hint="default"/>
                <w:sz w:val="15"/>
                <w:szCs w:val="15"/>
                <w:lang w:val="pt-BR"/>
              </w:rPr>
            </w:pPr>
            <w:r>
              <w:rPr>
                <w:rFonts w:hint="default"/>
                <w:sz w:val="15"/>
                <w:szCs w:val="15"/>
                <w:lang w:val="pt-BR"/>
              </w:rPr>
              <w:t>02</w:t>
            </w:r>
          </w:p>
        </w:tc>
        <w:tc>
          <w:tcPr>
            <w:tcW w:w="2531" w:type="dxa"/>
          </w:tcPr>
          <w:p w14:paraId="09B514EB">
            <w:pPr>
              <w:pStyle w:val="147"/>
              <w:spacing w:before="60" w:line="288" w:lineRule="auto"/>
              <w:ind w:left="58" w:right="47" w:hanging="1"/>
              <w:jc w:val="both"/>
              <w:rPr>
                <w:rFonts w:hint="default" w:ascii="Arial" w:hAnsi="Arial" w:cs="Arial"/>
                <w:sz w:val="16"/>
                <w:szCs w:val="16"/>
              </w:rPr>
            </w:pPr>
          </w:p>
          <w:p w14:paraId="3858CC2E">
            <w:pPr>
              <w:pStyle w:val="147"/>
              <w:spacing w:before="60" w:line="288" w:lineRule="auto"/>
              <w:ind w:left="58" w:right="47" w:hanging="1"/>
              <w:jc w:val="both"/>
              <w:rPr>
                <w:rFonts w:hint="default" w:ascii="Arial" w:hAnsi="Arial" w:cs="Arial"/>
                <w:sz w:val="16"/>
                <w:szCs w:val="16"/>
              </w:rPr>
            </w:pPr>
          </w:p>
          <w:p w14:paraId="5CA641F0">
            <w:pPr>
              <w:pStyle w:val="147"/>
              <w:spacing w:before="60" w:line="288" w:lineRule="auto"/>
              <w:ind w:left="58" w:right="47" w:hanging="1"/>
              <w:jc w:val="both"/>
              <w:rPr>
                <w:rFonts w:hint="default"/>
                <w:sz w:val="15"/>
                <w:szCs w:val="15"/>
                <w:lang w:val="pt-BR"/>
              </w:rPr>
            </w:pPr>
            <w:r>
              <w:rPr>
                <w:rFonts w:hint="default" w:ascii="Arial" w:hAnsi="Arial" w:cs="Arial"/>
                <w:sz w:val="16"/>
                <w:szCs w:val="16"/>
              </w:rPr>
              <w:t>Massa asfáltica Usinada</w:t>
            </w:r>
            <w:r>
              <w:rPr>
                <w:rFonts w:hint="default" w:ascii="Arial" w:hAnsi="Arial" w:cs="Arial"/>
                <w:spacing w:val="-14"/>
                <w:sz w:val="16"/>
                <w:szCs w:val="16"/>
              </w:rPr>
              <w:t xml:space="preserve"> </w:t>
            </w:r>
            <w:r>
              <w:rPr>
                <w:rFonts w:hint="default" w:ascii="Arial" w:hAnsi="Arial" w:cs="Arial"/>
                <w:sz w:val="16"/>
                <w:szCs w:val="16"/>
              </w:rPr>
              <w:t>a</w:t>
            </w:r>
            <w:r>
              <w:rPr>
                <w:rFonts w:hint="default" w:ascii="Arial" w:hAnsi="Arial" w:cs="Arial"/>
                <w:spacing w:val="-14"/>
                <w:sz w:val="16"/>
                <w:szCs w:val="16"/>
              </w:rPr>
              <w:t xml:space="preserve"> </w:t>
            </w:r>
            <w:r>
              <w:rPr>
                <w:rFonts w:hint="default" w:ascii="Arial" w:hAnsi="Arial" w:cs="Arial"/>
                <w:sz w:val="16"/>
                <w:szCs w:val="16"/>
              </w:rPr>
              <w:t>Quente</w:t>
            </w:r>
            <w:r>
              <w:rPr>
                <w:rFonts w:hint="default" w:ascii="Arial" w:hAnsi="Arial" w:cs="Arial"/>
                <w:sz w:val="16"/>
                <w:szCs w:val="16"/>
                <w:lang w:val="pt-BR"/>
              </w:rPr>
              <w:t xml:space="preserve"> </w:t>
            </w:r>
            <w:r>
              <w:rPr>
                <w:rFonts w:hint="default" w:ascii="Arial" w:hAnsi="Arial" w:cs="Arial"/>
                <w:sz w:val="16"/>
                <w:szCs w:val="16"/>
              </w:rPr>
              <w:t>(CBUQ) para aplicação</w:t>
            </w:r>
            <w:r>
              <w:rPr>
                <w:rFonts w:hint="default" w:ascii="Arial" w:hAnsi="Arial" w:cs="Arial"/>
                <w:spacing w:val="-13"/>
                <w:sz w:val="16"/>
                <w:szCs w:val="16"/>
              </w:rPr>
              <w:t xml:space="preserve"> </w:t>
            </w:r>
            <w:r>
              <w:rPr>
                <w:rFonts w:hint="default" w:ascii="Arial" w:hAnsi="Arial" w:cs="Arial"/>
                <w:sz w:val="16"/>
                <w:szCs w:val="16"/>
              </w:rPr>
              <w:t>à</w:t>
            </w:r>
            <w:r>
              <w:rPr>
                <w:rFonts w:hint="default" w:ascii="Arial" w:hAnsi="Arial" w:cs="Arial"/>
                <w:spacing w:val="-13"/>
                <w:sz w:val="16"/>
                <w:szCs w:val="16"/>
              </w:rPr>
              <w:t xml:space="preserve"> </w:t>
            </w:r>
            <w:r>
              <w:rPr>
                <w:rFonts w:hint="default" w:ascii="Arial" w:hAnsi="Arial" w:cs="Arial"/>
                <w:sz w:val="16"/>
                <w:szCs w:val="16"/>
              </w:rPr>
              <w:t>frio</w:t>
            </w:r>
            <w:r>
              <w:rPr>
                <w:rFonts w:hint="default" w:ascii="Arial" w:hAnsi="Arial" w:cs="Arial"/>
                <w:spacing w:val="-13"/>
                <w:sz w:val="16"/>
                <w:szCs w:val="16"/>
              </w:rPr>
              <w:t xml:space="preserve"> </w:t>
            </w:r>
            <w:r>
              <w:rPr>
                <w:rFonts w:hint="default" w:ascii="Arial" w:hAnsi="Arial" w:cs="Arial"/>
                <w:sz w:val="16"/>
                <w:szCs w:val="16"/>
              </w:rPr>
              <w:t xml:space="preserve">- </w:t>
            </w:r>
            <w:r>
              <w:rPr>
                <w:rFonts w:hint="default" w:ascii="Arial" w:hAnsi="Arial" w:cs="Arial"/>
                <w:spacing w:val="-2"/>
                <w:sz w:val="16"/>
                <w:szCs w:val="16"/>
              </w:rPr>
              <w:t>entregue</w:t>
            </w:r>
            <w:r>
              <w:rPr>
                <w:rFonts w:hint="default" w:ascii="Arial" w:hAnsi="Arial" w:cs="Arial"/>
                <w:spacing w:val="-2"/>
                <w:sz w:val="16"/>
                <w:szCs w:val="16"/>
                <w:lang w:val="pt-BR"/>
              </w:rPr>
              <w:t xml:space="preserve"> a granel.</w:t>
            </w:r>
          </w:p>
        </w:tc>
        <w:tc>
          <w:tcPr>
            <w:tcW w:w="992" w:type="dxa"/>
          </w:tcPr>
          <w:p w14:paraId="44300B83">
            <w:pPr>
              <w:suppressAutoHyphens/>
              <w:spacing w:before="0" w:after="0" w:line="240" w:lineRule="auto"/>
              <w:jc w:val="center"/>
              <w:rPr>
                <w:rFonts w:hint="default"/>
                <w:sz w:val="15"/>
                <w:szCs w:val="15"/>
                <w:lang w:val="pt-BR"/>
              </w:rPr>
            </w:pPr>
          </w:p>
          <w:p w14:paraId="17159967">
            <w:pPr>
              <w:suppressAutoHyphens/>
              <w:spacing w:before="0" w:after="0" w:line="240" w:lineRule="auto"/>
              <w:jc w:val="center"/>
              <w:rPr>
                <w:rFonts w:hint="default"/>
                <w:sz w:val="15"/>
                <w:szCs w:val="15"/>
                <w:lang w:val="pt-BR"/>
              </w:rPr>
            </w:pPr>
          </w:p>
          <w:p w14:paraId="16B9CC52">
            <w:pPr>
              <w:suppressAutoHyphens/>
              <w:spacing w:before="0" w:after="0" w:line="240" w:lineRule="auto"/>
              <w:jc w:val="center"/>
              <w:rPr>
                <w:rFonts w:hint="default"/>
                <w:sz w:val="15"/>
                <w:szCs w:val="15"/>
                <w:lang w:val="pt-BR"/>
              </w:rPr>
            </w:pPr>
          </w:p>
          <w:p w14:paraId="3FE69A1F">
            <w:pPr>
              <w:suppressAutoHyphens/>
              <w:spacing w:before="0" w:after="0" w:line="240" w:lineRule="auto"/>
              <w:jc w:val="center"/>
              <w:rPr>
                <w:rFonts w:hint="default"/>
                <w:sz w:val="15"/>
                <w:szCs w:val="15"/>
                <w:lang w:val="pt-BR"/>
              </w:rPr>
            </w:pPr>
          </w:p>
          <w:p w14:paraId="12C19B71">
            <w:pPr>
              <w:suppressAutoHyphens/>
              <w:spacing w:before="0" w:after="0" w:line="240" w:lineRule="auto"/>
              <w:jc w:val="center"/>
              <w:rPr>
                <w:rFonts w:hint="default"/>
                <w:sz w:val="15"/>
                <w:szCs w:val="15"/>
                <w:lang w:val="pt-BR"/>
              </w:rPr>
            </w:pPr>
          </w:p>
          <w:p w14:paraId="7BCBBBDF">
            <w:pPr>
              <w:suppressAutoHyphens/>
              <w:spacing w:before="0" w:after="0" w:line="240" w:lineRule="auto"/>
              <w:jc w:val="center"/>
              <w:rPr>
                <w:rFonts w:hint="default"/>
                <w:sz w:val="15"/>
                <w:szCs w:val="15"/>
                <w:lang w:val="pt-BR"/>
              </w:rPr>
            </w:pPr>
            <w:r>
              <w:rPr>
                <w:rFonts w:hint="default"/>
                <w:sz w:val="15"/>
                <w:szCs w:val="15"/>
                <w:lang w:val="pt-BR"/>
              </w:rPr>
              <w:t>KG</w:t>
            </w:r>
          </w:p>
        </w:tc>
        <w:tc>
          <w:tcPr>
            <w:tcW w:w="920" w:type="dxa"/>
          </w:tcPr>
          <w:p w14:paraId="7A8A8F03">
            <w:pPr>
              <w:suppressAutoHyphens/>
              <w:spacing w:before="0" w:after="0" w:line="240" w:lineRule="auto"/>
              <w:jc w:val="center"/>
              <w:rPr>
                <w:rFonts w:hint="default" w:eastAsia="SimSun"/>
                <w:sz w:val="15"/>
                <w:szCs w:val="15"/>
                <w:lang w:val="pt-BR" w:eastAsia="zh-CN" w:bidi="hi-IN"/>
              </w:rPr>
            </w:pPr>
          </w:p>
          <w:p w14:paraId="4F5E4EB7">
            <w:pPr>
              <w:suppressAutoHyphens/>
              <w:spacing w:before="0" w:after="0" w:line="240" w:lineRule="auto"/>
              <w:jc w:val="center"/>
              <w:rPr>
                <w:rFonts w:hint="default" w:eastAsia="SimSun"/>
                <w:sz w:val="15"/>
                <w:szCs w:val="15"/>
                <w:lang w:val="pt-BR" w:eastAsia="zh-CN" w:bidi="hi-IN"/>
              </w:rPr>
            </w:pPr>
          </w:p>
          <w:p w14:paraId="0DFA8620">
            <w:pPr>
              <w:suppressAutoHyphens/>
              <w:spacing w:before="0" w:after="0" w:line="240" w:lineRule="auto"/>
              <w:jc w:val="center"/>
              <w:rPr>
                <w:rFonts w:hint="default" w:eastAsia="SimSun"/>
                <w:sz w:val="15"/>
                <w:szCs w:val="15"/>
                <w:lang w:val="pt-BR" w:eastAsia="zh-CN" w:bidi="hi-IN"/>
              </w:rPr>
            </w:pPr>
          </w:p>
          <w:p w14:paraId="66468127">
            <w:pPr>
              <w:suppressAutoHyphens/>
              <w:spacing w:before="0" w:after="0" w:line="240" w:lineRule="auto"/>
              <w:jc w:val="center"/>
              <w:rPr>
                <w:rFonts w:hint="default" w:eastAsia="SimSun"/>
                <w:sz w:val="15"/>
                <w:szCs w:val="15"/>
                <w:lang w:val="pt-BR" w:eastAsia="zh-CN" w:bidi="hi-IN"/>
              </w:rPr>
            </w:pPr>
          </w:p>
          <w:p w14:paraId="722A8A93">
            <w:pPr>
              <w:suppressAutoHyphens/>
              <w:spacing w:before="0" w:after="0" w:line="240" w:lineRule="auto"/>
              <w:jc w:val="center"/>
              <w:rPr>
                <w:rFonts w:hint="default" w:eastAsia="SimSun"/>
                <w:sz w:val="15"/>
                <w:szCs w:val="15"/>
                <w:lang w:val="pt-BR" w:eastAsia="zh-CN" w:bidi="hi-IN"/>
              </w:rPr>
            </w:pPr>
          </w:p>
          <w:p w14:paraId="5A422150">
            <w:pPr>
              <w:suppressAutoHyphens/>
              <w:spacing w:before="0" w:after="0" w:line="240" w:lineRule="auto"/>
              <w:jc w:val="center"/>
              <w:rPr>
                <w:rFonts w:hint="default" w:eastAsia="SimSun"/>
                <w:sz w:val="15"/>
                <w:szCs w:val="15"/>
                <w:lang w:val="pt-BR" w:eastAsia="zh-CN" w:bidi="hi-IN"/>
              </w:rPr>
            </w:pPr>
            <w:r>
              <w:rPr>
                <w:rFonts w:hint="default" w:eastAsia="SimSun"/>
                <w:sz w:val="15"/>
                <w:szCs w:val="15"/>
                <w:lang w:val="pt-BR" w:eastAsia="zh-CN" w:bidi="hi-IN"/>
              </w:rPr>
              <w:t>1.000.000</w:t>
            </w:r>
          </w:p>
        </w:tc>
        <w:tc>
          <w:tcPr>
            <w:tcW w:w="1206" w:type="dxa"/>
          </w:tcPr>
          <w:p w14:paraId="55E709C4">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1E2371EC">
            <w:pPr>
              <w:suppressAutoHyphens/>
              <w:spacing w:before="0" w:after="0" w:line="240" w:lineRule="auto"/>
              <w:jc w:val="center"/>
              <w:rPr>
                <w:rFonts w:hint="default" w:eastAsia="SimSun"/>
                <w:sz w:val="15"/>
                <w:szCs w:val="15"/>
                <w:lang w:val="pt-BR" w:eastAsia="zh-CN" w:bidi="hi-IN"/>
              </w:rPr>
            </w:pPr>
          </w:p>
        </w:tc>
        <w:tc>
          <w:tcPr>
            <w:tcW w:w="992" w:type="dxa"/>
          </w:tcPr>
          <w:p w14:paraId="4D094783">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6E2EF1B2">
            <w:pPr>
              <w:suppressAutoHyphens/>
              <w:spacing w:before="0" w:after="0" w:line="240" w:lineRule="auto"/>
              <w:jc w:val="center"/>
              <w:rPr>
                <w:rFonts w:hint="default"/>
                <w:sz w:val="15"/>
                <w:szCs w:val="15"/>
                <w:lang w:val="pt-BR"/>
              </w:rPr>
            </w:pPr>
          </w:p>
        </w:tc>
        <w:tc>
          <w:tcPr>
            <w:tcW w:w="993" w:type="dxa"/>
          </w:tcPr>
          <w:p w14:paraId="19BD9C87">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6D079AC8">
            <w:pPr>
              <w:suppressAutoHyphens/>
              <w:spacing w:before="0" w:after="0" w:line="240" w:lineRule="auto"/>
              <w:jc w:val="center"/>
              <w:rPr>
                <w:rFonts w:hint="default" w:eastAsia="SimSun"/>
                <w:sz w:val="15"/>
                <w:szCs w:val="15"/>
                <w:lang w:val="pt-BR" w:eastAsia="zh-CN" w:bidi="hi-IN"/>
              </w:rPr>
            </w:pPr>
          </w:p>
        </w:tc>
        <w:tc>
          <w:tcPr>
            <w:tcW w:w="985" w:type="dxa"/>
          </w:tcPr>
          <w:p w14:paraId="7EB10242">
            <w:pPr>
              <w:pStyle w:val="147"/>
              <w:spacing w:before="198" w:line="288" w:lineRule="auto"/>
              <w:ind w:left="54" w:right="42"/>
              <w:jc w:val="center"/>
              <w:rPr>
                <w:rFonts w:hint="default" w:ascii="Arial" w:hAnsi="Arial" w:cs="Arial"/>
                <w:sz w:val="16"/>
                <w:szCs w:val="16"/>
              </w:rPr>
            </w:pPr>
            <w:r>
              <w:rPr>
                <w:rFonts w:hint="default" w:ascii="Arial" w:hAnsi="Arial" w:cs="Arial"/>
                <w:sz w:val="16"/>
                <w:szCs w:val="16"/>
              </w:rPr>
              <w:t xml:space="preserve">Não é </w:t>
            </w:r>
            <w:r>
              <w:rPr>
                <w:rFonts w:hint="default" w:ascii="Arial" w:hAnsi="Arial" w:cs="Arial"/>
                <w:spacing w:val="-2"/>
                <w:sz w:val="16"/>
                <w:szCs w:val="16"/>
              </w:rPr>
              <w:t xml:space="preserve">possível estimar, variando </w:t>
            </w:r>
            <w:r>
              <w:rPr>
                <w:rFonts w:hint="default" w:ascii="Arial" w:hAnsi="Arial" w:cs="Arial"/>
                <w:sz w:val="16"/>
                <w:szCs w:val="16"/>
              </w:rPr>
              <w:t>de</w:t>
            </w:r>
            <w:r>
              <w:rPr>
                <w:rFonts w:hint="default" w:ascii="Arial" w:hAnsi="Arial" w:cs="Arial"/>
                <w:spacing w:val="-14"/>
                <w:sz w:val="16"/>
                <w:szCs w:val="16"/>
              </w:rPr>
              <w:t xml:space="preserve"> </w:t>
            </w:r>
            <w:r>
              <w:rPr>
                <w:rFonts w:hint="default" w:ascii="Arial" w:hAnsi="Arial" w:cs="Arial"/>
                <w:sz w:val="16"/>
                <w:szCs w:val="16"/>
              </w:rPr>
              <w:t xml:space="preserve">acordo com a </w:t>
            </w:r>
            <w:r>
              <w:rPr>
                <w:rFonts w:hint="default" w:ascii="Arial" w:hAnsi="Arial" w:cs="Arial"/>
                <w:spacing w:val="-2"/>
                <w:sz w:val="16"/>
                <w:szCs w:val="16"/>
              </w:rPr>
              <w:t xml:space="preserve">necessida </w:t>
            </w:r>
            <w:r>
              <w:rPr>
                <w:rFonts w:hint="default" w:ascii="Arial" w:hAnsi="Arial" w:cs="Arial"/>
                <w:sz w:val="16"/>
                <w:szCs w:val="16"/>
              </w:rPr>
              <w:t xml:space="preserve">de da </w:t>
            </w:r>
            <w:r>
              <w:rPr>
                <w:rFonts w:hint="default" w:ascii="Arial" w:hAnsi="Arial" w:cs="Arial"/>
                <w:spacing w:val="-2"/>
                <w:sz w:val="16"/>
                <w:szCs w:val="16"/>
              </w:rPr>
              <w:t>Secretaria</w:t>
            </w:r>
          </w:p>
          <w:p w14:paraId="60F464DE">
            <w:pPr>
              <w:suppressAutoHyphens/>
              <w:spacing w:before="0" w:after="0" w:line="240" w:lineRule="auto"/>
              <w:jc w:val="center"/>
              <w:rPr>
                <w:rFonts w:hint="default"/>
                <w:sz w:val="15"/>
                <w:szCs w:val="15"/>
                <w:lang w:val="pt-BR"/>
              </w:rPr>
            </w:pPr>
          </w:p>
        </w:tc>
      </w:tr>
    </w:tbl>
    <w:p w14:paraId="76A702B8">
      <w:pPr>
        <w:spacing w:before="0" w:after="0" w:line="276" w:lineRule="auto"/>
        <w:jc w:val="both"/>
        <w:rPr>
          <w:rFonts w:cs="Arial"/>
          <w:b/>
          <w:sz w:val="20"/>
          <w:szCs w:val="20"/>
          <w:lang w:val="pt-BR"/>
        </w:rPr>
      </w:pPr>
    </w:p>
    <w:p w14:paraId="5034F90F">
      <w:pPr>
        <w:pStyle w:val="17"/>
        <w:rPr>
          <w:sz w:val="10"/>
          <w:szCs w:val="10"/>
        </w:rPr>
      </w:pPr>
    </w:p>
    <w:p w14:paraId="49FA2052">
      <w:pPr>
        <w:spacing w:before="0" w:after="0" w:line="276" w:lineRule="auto"/>
        <w:jc w:val="both"/>
        <w:rPr>
          <w:rFonts w:cs="Arial"/>
          <w:b/>
          <w:sz w:val="10"/>
          <w:szCs w:val="10"/>
          <w:lang w:val="pt-BR"/>
        </w:rPr>
      </w:pPr>
    </w:p>
    <w:p w14:paraId="10E42C35">
      <w:pPr>
        <w:spacing w:before="0" w:after="0" w:line="276" w:lineRule="auto"/>
        <w:jc w:val="both"/>
        <w:rPr>
          <w:rFonts w:cs="Arial"/>
          <w:b/>
          <w:sz w:val="10"/>
          <w:szCs w:val="10"/>
          <w:lang w:val="pt-BR"/>
        </w:rPr>
      </w:pPr>
    </w:p>
    <w:p w14:paraId="487D987F">
      <w:pPr>
        <w:spacing w:before="0" w:after="0" w:line="276" w:lineRule="auto"/>
        <w:jc w:val="both"/>
        <w:rPr>
          <w:rFonts w:cs="Arial"/>
          <w:b/>
          <w:sz w:val="10"/>
          <w:szCs w:val="10"/>
          <w:lang w:val="pt-BR"/>
        </w:rPr>
      </w:pPr>
    </w:p>
    <w:p w14:paraId="7611B261">
      <w:pPr>
        <w:pStyle w:val="41"/>
        <w:numPr>
          <w:ilvl w:val="0"/>
          <w:numId w:val="16"/>
        </w:numPr>
        <w:spacing w:before="0" w:after="0" w:line="276" w:lineRule="auto"/>
        <w:ind w:left="0" w:firstLine="0"/>
        <w:contextualSpacing/>
        <w:jc w:val="both"/>
        <w:rPr>
          <w:rFonts w:hint="default"/>
          <w:sz w:val="24"/>
          <w:lang w:val="en-US"/>
        </w:rPr>
      </w:pPr>
      <w:r>
        <w:rPr>
          <w:rFonts w:cs="Arial"/>
          <w:b/>
          <w:bCs/>
          <w:sz w:val="22"/>
        </w:rPr>
        <w:t xml:space="preserve">BENEFÍCIO PARA MICRO E PEQUENAS EMPRESAS - MPE Licitação para MEI, ME, EPP, </w:t>
      </w:r>
      <w:r>
        <w:rPr>
          <w:rFonts w:cs="Arial"/>
          <w:b/>
          <w:bCs/>
          <w:color w:val="000000"/>
          <w:sz w:val="22"/>
        </w:rPr>
        <w:t>Benefícios de Micro e Pequenas Empresas - MPE</w:t>
      </w:r>
      <w:r>
        <w:rPr>
          <w:rFonts w:cs="Arial"/>
          <w:color w:val="000000"/>
          <w:sz w:val="22"/>
        </w:rPr>
        <w:t xml:space="preserve">: </w:t>
      </w:r>
    </w:p>
    <w:p w14:paraId="21187DBD">
      <w:pPr>
        <w:pStyle w:val="41"/>
        <w:numPr>
          <w:ilvl w:val="0"/>
          <w:numId w:val="9"/>
        </w:numPr>
        <w:tabs>
          <w:tab w:val="clear" w:pos="420"/>
        </w:tabs>
        <w:spacing w:before="0" w:after="0" w:line="276" w:lineRule="auto"/>
        <w:ind w:left="420" w:leftChars="0" w:hanging="420" w:firstLineChars="0"/>
        <w:contextualSpacing/>
        <w:jc w:val="both"/>
        <w:rPr>
          <w:rFonts w:hint="default" w:cs="Arial"/>
          <w:b w:val="0"/>
          <w:bCs w:val="0"/>
          <w:color w:val="000000"/>
          <w:sz w:val="22"/>
          <w:u w:val="none"/>
          <w:lang w:val="pt-BR"/>
        </w:rPr>
      </w:pPr>
      <w:r>
        <w:rPr>
          <w:rFonts w:hint="default" w:cs="Arial"/>
          <w:b w:val="0"/>
          <w:bCs w:val="0"/>
          <w:color w:val="000000"/>
          <w:sz w:val="22"/>
          <w:u w:val="none"/>
          <w:lang w:val="pt-BR"/>
        </w:rPr>
        <w:t>Os Itens 01 e 02 é destinado a Ampla Concorrência, com benefício  as MPE de Empate Ficto e Comprovação tardia; e</w:t>
      </w:r>
    </w:p>
    <w:p w14:paraId="15E6EC2D">
      <w:pPr>
        <w:pStyle w:val="41"/>
        <w:numPr>
          <w:ilvl w:val="0"/>
          <w:numId w:val="10"/>
        </w:numPr>
        <w:tabs>
          <w:tab w:val="left" w:pos="567"/>
          <w:tab w:val="left" w:pos="8640"/>
          <w:tab w:val="clear" w:pos="420"/>
        </w:tabs>
        <w:spacing w:before="180" w:after="0"/>
        <w:ind w:left="420" w:leftChars="0" w:right="0" w:rightChars="0" w:hanging="420" w:firstLineChars="0"/>
        <w:contextualSpacing w:val="0"/>
        <w:jc w:val="both"/>
        <w:rPr>
          <w:b w:val="0"/>
          <w:bCs w:val="0"/>
          <w:sz w:val="22"/>
          <w:szCs w:val="22"/>
          <w:u w:val="none"/>
        </w:rPr>
      </w:pPr>
      <w:r>
        <w:rPr>
          <w:rFonts w:hint="default" w:cs="Arial"/>
          <w:b w:val="0"/>
          <w:bCs w:val="0"/>
          <w:color w:val="000000"/>
          <w:sz w:val="22"/>
          <w:u w:val="none"/>
          <w:lang w:val="pt-BR"/>
        </w:rPr>
        <w:t xml:space="preserve">Os itens 03 e 04 são </w:t>
      </w:r>
      <w:r>
        <w:rPr>
          <w:rFonts w:hint="default" w:cs="Arial"/>
          <w:b w:val="0"/>
          <w:bCs w:val="0"/>
          <w:color w:val="000000" w:themeColor="text1"/>
          <w:sz w:val="22"/>
          <w:szCs w:val="22"/>
          <w:u w:val="none"/>
          <w:lang w:val="pt-BR"/>
          <w14:textFill>
            <w14:solidFill>
              <w14:schemeClr w14:val="tx1"/>
            </w14:solidFill>
          </w14:textFill>
        </w:rPr>
        <w:t>Cota de 25%</w:t>
      </w:r>
      <w:r>
        <w:rPr>
          <w:b w:val="0"/>
          <w:bCs w:val="0"/>
          <w:spacing w:val="-4"/>
          <w:sz w:val="22"/>
          <w:szCs w:val="22"/>
          <w:u w:val="none"/>
        </w:rPr>
        <w:t xml:space="preserve"> </w:t>
      </w:r>
      <w:r>
        <w:rPr>
          <w:b w:val="0"/>
          <w:bCs w:val="0"/>
          <w:sz w:val="22"/>
          <w:szCs w:val="22"/>
          <w:u w:val="none"/>
        </w:rPr>
        <w:t>para</w:t>
      </w:r>
      <w:r>
        <w:rPr>
          <w:b w:val="0"/>
          <w:bCs w:val="0"/>
          <w:spacing w:val="-3"/>
          <w:sz w:val="22"/>
          <w:szCs w:val="22"/>
          <w:u w:val="none"/>
        </w:rPr>
        <w:t xml:space="preserve"> </w:t>
      </w:r>
      <w:r>
        <w:rPr>
          <w:b w:val="0"/>
          <w:bCs w:val="0"/>
          <w:sz w:val="22"/>
          <w:szCs w:val="22"/>
          <w:u w:val="none"/>
        </w:rPr>
        <w:t>MPE</w:t>
      </w:r>
      <w:r>
        <w:rPr>
          <w:b w:val="0"/>
          <w:bCs w:val="0"/>
          <w:spacing w:val="-3"/>
          <w:sz w:val="22"/>
          <w:szCs w:val="22"/>
          <w:u w:val="none"/>
        </w:rPr>
        <w:t xml:space="preserve"> </w:t>
      </w:r>
      <w:r>
        <w:rPr>
          <w:b w:val="0"/>
          <w:bCs w:val="0"/>
          <w:sz w:val="22"/>
          <w:szCs w:val="22"/>
          <w:u w:val="none"/>
        </w:rPr>
        <w:t>e</w:t>
      </w:r>
      <w:r>
        <w:rPr>
          <w:b w:val="0"/>
          <w:bCs w:val="0"/>
          <w:spacing w:val="-3"/>
          <w:sz w:val="22"/>
          <w:szCs w:val="22"/>
          <w:u w:val="none"/>
        </w:rPr>
        <w:t xml:space="preserve"> </w:t>
      </w:r>
      <w:r>
        <w:rPr>
          <w:b w:val="0"/>
          <w:bCs w:val="0"/>
          <w:sz w:val="22"/>
          <w:szCs w:val="22"/>
          <w:u w:val="none"/>
        </w:rPr>
        <w:t>com</w:t>
      </w:r>
      <w:r>
        <w:rPr>
          <w:b w:val="0"/>
          <w:bCs w:val="0"/>
          <w:spacing w:val="-4"/>
          <w:sz w:val="22"/>
          <w:szCs w:val="22"/>
          <w:u w:val="none"/>
        </w:rPr>
        <w:t xml:space="preserve"> </w:t>
      </w:r>
      <w:r>
        <w:rPr>
          <w:b w:val="0"/>
          <w:bCs w:val="0"/>
          <w:sz w:val="22"/>
          <w:szCs w:val="22"/>
          <w:u w:val="none"/>
        </w:rPr>
        <w:t>Prioridade</w:t>
      </w:r>
      <w:r>
        <w:rPr>
          <w:b w:val="0"/>
          <w:bCs w:val="0"/>
          <w:spacing w:val="-3"/>
          <w:sz w:val="22"/>
          <w:szCs w:val="22"/>
          <w:u w:val="none"/>
        </w:rPr>
        <w:t xml:space="preserve"> </w:t>
      </w:r>
      <w:r>
        <w:rPr>
          <w:b w:val="0"/>
          <w:bCs w:val="0"/>
          <w:sz w:val="22"/>
          <w:szCs w:val="22"/>
          <w:u w:val="none"/>
        </w:rPr>
        <w:t>de</w:t>
      </w:r>
      <w:r>
        <w:rPr>
          <w:b w:val="0"/>
          <w:bCs w:val="0"/>
          <w:spacing w:val="-3"/>
          <w:sz w:val="22"/>
          <w:szCs w:val="22"/>
          <w:u w:val="none"/>
        </w:rPr>
        <w:t xml:space="preserve"> </w:t>
      </w:r>
      <w:r>
        <w:rPr>
          <w:b w:val="0"/>
          <w:bCs w:val="0"/>
          <w:sz w:val="22"/>
          <w:szCs w:val="22"/>
          <w:u w:val="none"/>
        </w:rPr>
        <w:t>Contratação</w:t>
      </w:r>
      <w:r>
        <w:rPr>
          <w:b w:val="0"/>
          <w:bCs w:val="0"/>
          <w:spacing w:val="-3"/>
          <w:sz w:val="22"/>
          <w:szCs w:val="22"/>
          <w:u w:val="none"/>
        </w:rPr>
        <w:t xml:space="preserve"> </w:t>
      </w:r>
      <w:r>
        <w:rPr>
          <w:rFonts w:hint="default"/>
          <w:b w:val="0"/>
          <w:bCs w:val="0"/>
          <w:spacing w:val="-3"/>
          <w:sz w:val="22"/>
          <w:szCs w:val="22"/>
          <w:u w:val="none"/>
          <w:lang w:val="pt-BR"/>
        </w:rPr>
        <w:t xml:space="preserve"> Regional</w:t>
      </w:r>
    </w:p>
    <w:p w14:paraId="34359E91">
      <w:pPr>
        <w:pStyle w:val="41"/>
        <w:numPr>
          <w:ilvl w:val="0"/>
          <w:numId w:val="0"/>
        </w:numPr>
        <w:spacing w:before="0" w:after="0" w:line="276" w:lineRule="auto"/>
        <w:ind w:leftChars="0"/>
        <w:contextualSpacing/>
        <w:jc w:val="both"/>
        <w:rPr>
          <w:rFonts w:hint="default" w:cs="Arial"/>
          <w:color w:val="000000"/>
          <w:sz w:val="22"/>
          <w:lang w:val="pt-BR"/>
        </w:rPr>
      </w:pPr>
    </w:p>
    <w:p w14:paraId="383154DF">
      <w:pPr>
        <w:pStyle w:val="20"/>
        <w:keepNext w:val="0"/>
        <w:keepLines w:val="0"/>
        <w:widowControl/>
        <w:suppressLineNumbers w:val="0"/>
        <w:spacing w:before="0" w:beforeAutospacing="0" w:after="0" w:afterAutospacing="0" w:line="15" w:lineRule="atLeast"/>
        <w:ind w:left="0" w:right="0"/>
        <w:jc w:val="both"/>
        <w:rPr>
          <w:rStyle w:val="59"/>
          <w:rFonts w:ascii="Arial" w:hAnsi="Arial" w:eastAsia="Segoe UI" w:cs="Arial"/>
          <w:i w:val="0"/>
          <w:iCs w:val="0"/>
          <w:caps w:val="0"/>
          <w:smallCaps w:val="0"/>
          <w:color w:val="000000"/>
          <w:spacing w:val="0"/>
          <w:sz w:val="24"/>
          <w:szCs w:val="24"/>
          <w:shd w:val="clear" w:fill="FFFFFF"/>
        </w:rPr>
      </w:pPr>
    </w:p>
    <w:p w14:paraId="4BD840DF">
      <w:pPr>
        <w:pStyle w:val="20"/>
        <w:keepNext w:val="0"/>
        <w:keepLines w:val="0"/>
        <w:widowControl/>
        <w:numPr>
          <w:ilvl w:val="0"/>
          <w:numId w:val="16"/>
        </w:numPr>
        <w:suppressLineNumbers w:val="0"/>
        <w:spacing w:before="0" w:beforeAutospacing="0" w:after="0" w:afterAutospacing="0" w:line="15" w:lineRule="atLeast"/>
        <w:ind w:left="0" w:leftChars="0" w:right="0" w:rightChars="0" w:firstLine="0" w:firstLineChars="0"/>
        <w:jc w:val="both"/>
        <w:rPr>
          <w:rFonts w:hint="default" w:ascii="Arial" w:hAnsi="Arial" w:eastAsia="SimSun" w:cs="Arial"/>
          <w:i w:val="0"/>
          <w:iCs w:val="0"/>
          <w:caps w:val="0"/>
          <w:color w:val="000000"/>
          <w:spacing w:val="0"/>
          <w:sz w:val="24"/>
          <w:szCs w:val="24"/>
          <w:lang w:val="pt-BR"/>
        </w:rPr>
      </w:pPr>
      <w:r>
        <w:rPr>
          <w:rFonts w:hint="default" w:ascii="Arial" w:hAnsi="Arial" w:eastAsia="SimSun" w:cs="Arial"/>
          <w:b/>
          <w:bCs/>
          <w:i w:val="0"/>
          <w:iCs w:val="0"/>
          <w:caps w:val="0"/>
          <w:color w:val="000000"/>
          <w:spacing w:val="0"/>
          <w:sz w:val="24"/>
          <w:szCs w:val="24"/>
          <w:lang w:val="pt-BR"/>
        </w:rPr>
        <w:t>QUANTIDADE OFERTADA</w:t>
      </w:r>
    </w:p>
    <w:p w14:paraId="4D935BC3">
      <w:pPr>
        <w:pStyle w:val="20"/>
        <w:keepNext w:val="0"/>
        <w:keepLines w:val="0"/>
        <w:widowControl/>
        <w:numPr>
          <w:ilvl w:val="0"/>
          <w:numId w:val="0"/>
        </w:numPr>
        <w:suppressLineNumbers w:val="0"/>
        <w:spacing w:before="0" w:beforeAutospacing="0" w:after="0" w:afterAutospacing="0" w:line="15" w:lineRule="atLeast"/>
        <w:ind w:leftChars="0" w:right="0" w:rightChars="0"/>
        <w:jc w:val="both"/>
        <w:rPr>
          <w:rFonts w:hint="default" w:ascii="Arial" w:hAnsi="Arial" w:eastAsia="SimSun" w:cs="Arial"/>
          <w:i w:val="0"/>
          <w:iCs w:val="0"/>
          <w:caps w:val="0"/>
          <w:color w:val="000000"/>
          <w:spacing w:val="0"/>
          <w:sz w:val="24"/>
          <w:szCs w:val="24"/>
          <w:lang w:val="pt-BR"/>
        </w:rPr>
      </w:pPr>
      <w:r>
        <w:rPr>
          <w:sz w:val="24"/>
          <w:szCs w:val="24"/>
        </w:rPr>
        <w:drawing>
          <wp:anchor distT="0" distB="0" distL="114300" distR="114300" simplePos="0" relativeHeight="251665408" behindDoc="0" locked="0" layoutInCell="0" allowOverlap="1">
            <wp:simplePos x="0" y="0"/>
            <wp:positionH relativeFrom="column">
              <wp:posOffset>5715</wp:posOffset>
            </wp:positionH>
            <wp:positionV relativeFrom="paragraph">
              <wp:posOffset>27305</wp:posOffset>
            </wp:positionV>
            <wp:extent cx="6270625" cy="76200"/>
            <wp:effectExtent l="0" t="0" r="15875" b="0"/>
            <wp:wrapSquare wrapText="bothSides"/>
            <wp:docPr id="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5"/>
                    <pic:cNvPicPr>
                      <a:picLocks noChangeAspect="1" noChangeArrowheads="1"/>
                    </pic:cNvPicPr>
                  </pic:nvPicPr>
                  <pic:blipFill>
                    <a:blip r:embed="rId15"/>
                    <a:stretch>
                      <a:fillRect/>
                    </a:stretch>
                  </pic:blipFill>
                  <pic:spPr>
                    <a:xfrm>
                      <a:off x="0" y="0"/>
                      <a:ext cx="6270625" cy="76200"/>
                    </a:xfrm>
                    <a:prstGeom prst="rect">
                      <a:avLst/>
                    </a:prstGeom>
                  </pic:spPr>
                </pic:pic>
              </a:graphicData>
            </a:graphic>
          </wp:anchor>
        </w:drawing>
      </w:r>
    </w:p>
    <w:p w14:paraId="0EB79564">
      <w:pPr>
        <w:pStyle w:val="20"/>
        <w:keepNext w:val="0"/>
        <w:keepLines w:val="0"/>
        <w:widowControl/>
        <w:numPr>
          <w:ilvl w:val="0"/>
          <w:numId w:val="0"/>
        </w:numPr>
        <w:suppressLineNumbers w:val="0"/>
        <w:spacing w:before="0" w:beforeAutospacing="0" w:after="0" w:afterAutospacing="0" w:line="15" w:lineRule="atLeast"/>
        <w:ind w:leftChars="0" w:right="0" w:rightChars="0"/>
        <w:jc w:val="both"/>
        <w:rPr>
          <w:rFonts w:hint="default" w:ascii="Arial" w:hAnsi="Arial" w:eastAsia="SimSun" w:cs="Arial"/>
          <w:i w:val="0"/>
          <w:iCs w:val="0"/>
          <w:caps w:val="0"/>
          <w:color w:val="000000"/>
          <w:spacing w:val="0"/>
          <w:sz w:val="24"/>
          <w:szCs w:val="24"/>
          <w:lang w:val="pt-BR"/>
        </w:rPr>
      </w:pPr>
      <w:r>
        <w:rPr>
          <w:rFonts w:hint="default" w:ascii="Arial" w:hAnsi="Arial" w:eastAsia="SimSun" w:cs="Arial"/>
          <w:i w:val="0"/>
          <w:iCs w:val="0"/>
          <w:caps w:val="0"/>
          <w:color w:val="000000"/>
          <w:spacing w:val="0"/>
          <w:sz w:val="24"/>
          <w:szCs w:val="24"/>
          <w:lang w:val="pt-BR"/>
        </w:rPr>
        <w:t>5.1.O</w:t>
      </w:r>
      <w:r>
        <w:rPr>
          <w:rFonts w:ascii="Arial" w:hAnsi="Arial" w:eastAsia="SimSun" w:cs="Arial"/>
          <w:i w:val="0"/>
          <w:iCs w:val="0"/>
          <w:caps w:val="0"/>
          <w:color w:val="000000"/>
          <w:spacing w:val="0"/>
          <w:sz w:val="24"/>
          <w:szCs w:val="24"/>
        </w:rPr>
        <w:t xml:space="preserve"> licitante </w:t>
      </w:r>
      <w:r>
        <w:rPr>
          <w:rFonts w:hint="default" w:ascii="Arial" w:hAnsi="Arial" w:eastAsia="SimSun" w:cs="Arial"/>
          <w:i w:val="0"/>
          <w:iCs w:val="0"/>
          <w:caps w:val="0"/>
          <w:color w:val="000000"/>
          <w:spacing w:val="0"/>
          <w:sz w:val="24"/>
          <w:szCs w:val="24"/>
          <w:lang w:val="pt-BR"/>
        </w:rPr>
        <w:t xml:space="preserve">não poderá apresentar </w:t>
      </w:r>
      <w:r>
        <w:rPr>
          <w:rFonts w:ascii="Arial" w:hAnsi="Arial" w:eastAsia="SimSun" w:cs="Arial"/>
          <w:i w:val="0"/>
          <w:iCs w:val="0"/>
          <w:caps w:val="0"/>
          <w:color w:val="000000"/>
          <w:spacing w:val="0"/>
          <w:sz w:val="24"/>
          <w:szCs w:val="24"/>
        </w:rPr>
        <w:t>proposta em quantitativo inferior ao máximo previsto</w:t>
      </w:r>
      <w:r>
        <w:rPr>
          <w:rFonts w:hint="default" w:ascii="Arial" w:hAnsi="Arial" w:eastAsia="SimSun" w:cs="Arial"/>
          <w:i w:val="0"/>
          <w:iCs w:val="0"/>
          <w:caps w:val="0"/>
          <w:color w:val="000000"/>
          <w:spacing w:val="0"/>
          <w:sz w:val="24"/>
          <w:szCs w:val="24"/>
          <w:lang w:val="pt-BR"/>
        </w:rPr>
        <w:t xml:space="preserve"> para cada item do edital pretendido.</w:t>
      </w:r>
    </w:p>
    <w:p w14:paraId="201A006E">
      <w:pPr>
        <w:pStyle w:val="41"/>
        <w:numPr>
          <w:ilvl w:val="0"/>
          <w:numId w:val="0"/>
        </w:numPr>
        <w:tabs>
          <w:tab w:val="left" w:pos="563"/>
          <w:tab w:val="left" w:pos="9360"/>
        </w:tabs>
        <w:spacing w:before="3" w:after="0" w:line="240" w:lineRule="auto"/>
        <w:ind w:left="140" w:right="-5" w:firstLine="0"/>
        <w:contextualSpacing/>
        <w:jc w:val="both"/>
        <w:rPr>
          <w:sz w:val="24"/>
        </w:rPr>
      </w:pPr>
    </w:p>
    <w:p w14:paraId="106FBB45">
      <w:pPr>
        <w:tabs>
          <w:tab w:val="left" w:pos="3274"/>
        </w:tabs>
        <w:rPr>
          <w:rFonts w:hint="default" w:cs="Arial"/>
          <w:b/>
          <w:sz w:val="22"/>
          <w:lang w:val="pt-BR"/>
        </w:rPr>
      </w:pPr>
      <w:r>
        <w:rPr>
          <w:rFonts w:hint="default" w:cs="Arial"/>
          <w:b/>
          <w:sz w:val="22"/>
          <w:lang w:val="pt-BR"/>
        </w:rPr>
        <w:t>6</w:t>
      </w:r>
      <w:r>
        <w:rPr>
          <w:rFonts w:cs="Arial"/>
          <w:b/>
          <w:sz w:val="22"/>
        </w:rPr>
        <w:t>.</w:t>
      </w:r>
      <w:r>
        <w:rPr>
          <w:rFonts w:hint="default" w:cs="Arial"/>
          <w:b/>
          <w:sz w:val="22"/>
          <w:lang w:val="pt-BR"/>
        </w:rPr>
        <w:t>DA SUBCONTRATAÇÃO</w:t>
      </w:r>
    </w:p>
    <w:p w14:paraId="35030D1A">
      <w:pPr>
        <w:tabs>
          <w:tab w:val="left" w:pos="1575"/>
        </w:tabs>
        <w:jc w:val="both"/>
      </w:pPr>
      <w:r>
        <w:rPr>
          <w:sz w:val="24"/>
          <w:szCs w:val="24"/>
        </w:rPr>
        <w:drawing>
          <wp:anchor distT="0" distB="0" distL="114300" distR="114300" simplePos="0" relativeHeight="251659264" behindDoc="0" locked="0" layoutInCell="0" allowOverlap="1">
            <wp:simplePos x="0" y="0"/>
            <wp:positionH relativeFrom="column">
              <wp:posOffset>-33655</wp:posOffset>
            </wp:positionH>
            <wp:positionV relativeFrom="paragraph">
              <wp:posOffset>27940</wp:posOffset>
            </wp:positionV>
            <wp:extent cx="6270625" cy="76200"/>
            <wp:effectExtent l="0" t="0" r="15875" b="0"/>
            <wp:wrapSquare wrapText="bothSides"/>
            <wp:docPr id="52"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m 5"/>
                    <pic:cNvPicPr>
                      <a:picLocks noChangeAspect="1" noChangeArrowheads="1"/>
                    </pic:cNvPicPr>
                  </pic:nvPicPr>
                  <pic:blipFill>
                    <a:blip r:embed="rId15"/>
                    <a:stretch>
                      <a:fillRect/>
                    </a:stretch>
                  </pic:blipFill>
                  <pic:spPr>
                    <a:xfrm>
                      <a:off x="0" y="0"/>
                      <a:ext cx="6270625" cy="76200"/>
                    </a:xfrm>
                    <a:prstGeom prst="rect">
                      <a:avLst/>
                    </a:prstGeom>
                  </pic:spPr>
                </pic:pic>
              </a:graphicData>
            </a:graphic>
          </wp:anchor>
        </w:drawing>
      </w:r>
      <w:r>
        <w:rPr>
          <w:rFonts w:hint="default"/>
          <w:sz w:val="24"/>
          <w:szCs w:val="24"/>
          <w:lang w:val="pt-BR"/>
        </w:rPr>
        <w:t>6.1.</w:t>
      </w:r>
      <w:r>
        <w:rPr>
          <w:rFonts w:cs="Arial"/>
          <w:bCs/>
          <w:sz w:val="24"/>
          <w:szCs w:val="24"/>
        </w:rPr>
        <w:t xml:space="preserve"> </w:t>
      </w:r>
      <w:r>
        <w:rPr>
          <w:rFonts w:hint="default" w:cs="Arial"/>
          <w:bCs/>
          <w:sz w:val="24"/>
          <w:szCs w:val="24"/>
          <w:lang w:val="pt-BR"/>
        </w:rPr>
        <w:t xml:space="preserve"> Na presente contratação s</w:t>
      </w:r>
      <w:r>
        <w:rPr>
          <w:rFonts w:hint="default" w:ascii="Arial" w:hAnsi="Arial" w:eastAsia="SimSun" w:cs="Arial"/>
          <w:sz w:val="24"/>
          <w:szCs w:val="24"/>
        </w:rPr>
        <w:t xml:space="preserve">erá </w:t>
      </w:r>
      <w:r>
        <w:rPr>
          <w:rFonts w:hint="default" w:eastAsia="SimSun" w:cs="Arial"/>
          <w:sz w:val="24"/>
          <w:szCs w:val="24"/>
          <w:lang w:val="pt-BR"/>
        </w:rPr>
        <w:t>vedada</w:t>
      </w:r>
      <w:r>
        <w:rPr>
          <w:rFonts w:hint="default" w:ascii="Arial" w:hAnsi="Arial" w:eastAsia="SimSun" w:cs="Arial"/>
          <w:sz w:val="24"/>
          <w:szCs w:val="24"/>
        </w:rPr>
        <w:t xml:space="preserve"> a subcontratação</w:t>
      </w:r>
      <w:r>
        <w:rPr>
          <w:rFonts w:hint="default" w:eastAsia="SimSun" w:cs="Arial"/>
          <w:sz w:val="24"/>
          <w:szCs w:val="24"/>
          <w:lang w:val="pt-BR"/>
        </w:rPr>
        <w:t xml:space="preserve">. </w:t>
      </w:r>
      <w:r>
        <w:t>A vedação da subcontratação justifica-se pela natureza do objeto, que exige rigoroso controle de qualidade na usinagem e na composição química do ligante asfáltico modificado. O CBUQ para aplicação a frio é um material que depende de aditivos específicos para garantir sua estocabilidade e adesividade; portanto, a execução por terceiros estranhos ao certame licitatório comprometeria a garantia técnica e a fiscalização direta sobre o traço do material fornecido.</w:t>
      </w:r>
    </w:p>
    <w:p w14:paraId="6943AE89">
      <w:pPr>
        <w:tabs>
          <w:tab w:val="left" w:pos="1575"/>
        </w:tabs>
        <w:jc w:val="both"/>
      </w:pPr>
      <w:r>
        <w:rPr>
          <w:rFonts w:hint="default"/>
          <w:lang w:val="pt-BR"/>
        </w:rPr>
        <w:t>6.2.</w:t>
      </w:r>
      <w:r>
        <w:t>Ademais, busca-se assegurar a responsabilidade direta da contratada quanto à procedência dos insumos e à integridade do produto final, evitando a fragmentação da responsabilidade civil e técnica, o que é essencial para garantir a durabilidade dos reparos asfálticos e a proteção ao erário, em consonância com o princípio da</w:t>
      </w:r>
      <w:r>
        <w:rPr>
          <w:spacing w:val="40"/>
        </w:rPr>
        <w:t xml:space="preserve"> </w:t>
      </w:r>
      <w:r>
        <w:t>segurança jurídica e do interesse público.</w:t>
      </w:r>
    </w:p>
    <w:p w14:paraId="2DF371DD">
      <w:pPr>
        <w:pStyle w:val="117"/>
        <w:numPr>
          <w:ilvl w:val="0"/>
          <w:numId w:val="0"/>
        </w:numPr>
        <w:ind w:left="0" w:firstLine="0"/>
        <w:rPr>
          <w:rFonts w:hint="default" w:ascii="Arial" w:hAnsi="Arial" w:eastAsia="Arial" w:cs="Arial"/>
          <w:b/>
          <w:i w:val="0"/>
          <w:strike w:val="0"/>
          <w:color w:val="000000"/>
          <w:sz w:val="24"/>
          <w:szCs w:val="24"/>
          <w:u w:val="none"/>
          <w:shd w:val="clear" w:fill="auto"/>
          <w:vertAlign w:val="baseline"/>
          <w:rtl w:val="0"/>
        </w:rPr>
      </w:pPr>
      <w:r>
        <w:rPr>
          <w:rFonts w:hint="default"/>
          <w:sz w:val="22"/>
          <w:szCs w:val="22"/>
          <w:lang w:val="pt-BR"/>
        </w:rPr>
        <w:t xml:space="preserve">7.  </w:t>
      </w:r>
      <w:r>
        <w:rPr>
          <w:rFonts w:hint="default" w:ascii="Arial" w:hAnsi="Arial" w:eastAsia="Arial" w:cs="Arial"/>
          <w:b/>
          <w:i w:val="0"/>
          <w:strike w:val="0"/>
          <w:color w:val="000000"/>
          <w:sz w:val="24"/>
          <w:szCs w:val="24"/>
          <w:u w:val="none"/>
          <w:shd w:val="clear" w:fill="auto"/>
          <w:vertAlign w:val="baseline"/>
          <w:rtl w:val="0"/>
        </w:rPr>
        <w:t>EXIGE RESPEITO ÀS NORMAS ESPECÍFICAS DE DESCARTE</w:t>
      </w:r>
    </w:p>
    <w:p w14:paraId="4CF177C6">
      <w:pPr>
        <w:keepNext w:val="0"/>
        <w:keepLines w:val="0"/>
        <w:pageBreakBefore w:val="0"/>
        <w:kinsoku/>
        <w:wordWrap/>
        <w:overflowPunct/>
        <w:topLinePunct w:val="0"/>
        <w:bidi w:val="0"/>
        <w:adjustRightInd/>
        <w:snapToGrid/>
        <w:spacing w:before="0" w:after="0" w:line="312" w:lineRule="auto"/>
        <w:jc w:val="both"/>
        <w:textAlignment w:val="auto"/>
        <w:rPr>
          <w:rFonts w:hint="default" w:ascii="Arial" w:hAnsi="Arial" w:eastAsia="SimSun" w:cs="Arial"/>
          <w:sz w:val="24"/>
          <w:szCs w:val="24"/>
          <w:rtl w:val="0"/>
        </w:rPr>
      </w:pPr>
      <w:r>
        <w:rPr>
          <w:rFonts w:hint="default"/>
          <w:lang w:val="pt-BR"/>
        </w:rPr>
        <w:t xml:space="preserve">7.1. </w:t>
      </w:r>
      <w:r>
        <w:rPr>
          <w:rFonts w:hint="default" w:ascii="Arial" w:hAnsi="Arial" w:eastAsia="SimSun" w:cs="Arial"/>
          <w:sz w:val="24"/>
          <w:szCs w:val="24"/>
        </w:rPr>
        <w:t xml:space="preserve">Para a aquisição de produtos cujo comércio seja classificado como atividade potencialmente poluidora ou utilizadora de recursos ambientais, </w:t>
      </w:r>
      <w:r>
        <w:rPr>
          <w:rFonts w:hint="default" w:ascii="Arial" w:hAnsi="Arial" w:eastAsia="SimSun" w:cs="Arial"/>
          <w:sz w:val="24"/>
          <w:szCs w:val="24"/>
          <w:lang w:val="pt-BR"/>
        </w:rPr>
        <w:t xml:space="preserve"> a empresa deve possuir</w:t>
      </w:r>
      <w:r>
        <w:rPr>
          <w:rFonts w:hint="default" w:ascii="Arial" w:hAnsi="Arial" w:eastAsia="SimSun" w:cs="Arial"/>
          <w:sz w:val="24"/>
          <w:szCs w:val="24"/>
        </w:rPr>
        <w:t xml:space="preserve"> inscrição no Cadastro Técnico Federal de Atividades Potencialmente Poluidoras ou Utilizadoras de Recursos Ambientais (CTF/APP), </w:t>
      </w:r>
      <w:r>
        <w:rPr>
          <w:rFonts w:hint="default" w:ascii="Arial" w:hAnsi="Arial" w:eastAsia="SimSun" w:cs="Arial"/>
          <w:sz w:val="24"/>
          <w:szCs w:val="24"/>
          <w:lang w:val="pt-BR"/>
        </w:rPr>
        <w:t xml:space="preserve">além do  </w:t>
      </w:r>
      <w:r>
        <w:rPr>
          <w:rFonts w:hint="default" w:ascii="Arial" w:hAnsi="Arial" w:eastAsia="SimSun" w:cs="Arial"/>
          <w:sz w:val="24"/>
          <w:szCs w:val="24"/>
        </w:rPr>
        <w:t xml:space="preserve"> Certificado de Regularidade válido, conforme art. 17, II, da Lei nº 6.938/1981 e Instrução Normativa IBAMA nº 13/2021</w:t>
      </w:r>
    </w:p>
    <w:p w14:paraId="5A46010F">
      <w:pPr>
        <w:pStyle w:val="117"/>
        <w:numPr>
          <w:ilvl w:val="0"/>
          <w:numId w:val="0"/>
        </w:numPr>
        <w:ind w:left="0" w:firstLine="0"/>
        <w:rPr>
          <w:rFonts w:hint="default"/>
          <w:sz w:val="22"/>
          <w:szCs w:val="22"/>
          <w:lang w:val="pt-BR"/>
        </w:rPr>
      </w:pPr>
      <w:r>
        <w:rPr>
          <w:rFonts w:hint="default"/>
          <w:sz w:val="22"/>
          <w:szCs w:val="22"/>
          <w:lang w:val="pt-BR"/>
        </w:rPr>
        <w:t>8.  DO CADASTRO RESERVA (REMANESCENTES)</w:t>
      </w:r>
    </w:p>
    <w:p w14:paraId="100F259E">
      <w:pPr>
        <w:jc w:val="both"/>
        <w:rPr>
          <w:rFonts w:hint="default" w:ascii="Arial" w:hAnsi="Arial" w:eastAsia="SimSun" w:cs="Arial"/>
          <w:sz w:val="24"/>
          <w:szCs w:val="24"/>
          <w:lang w:val="pt-BR"/>
        </w:rPr>
      </w:pPr>
      <w:r>
        <w:rPr>
          <w:rFonts w:hint="default"/>
          <w:sz w:val="22"/>
          <w:szCs w:val="22"/>
          <w:lang w:val="pt-BR"/>
        </w:rPr>
        <w:t xml:space="preserve">8.1. </w:t>
      </w:r>
      <w:r>
        <w:rPr>
          <w:rFonts w:hint="default" w:ascii="Arial" w:hAnsi="Arial" w:eastAsia="SimSun" w:cs="Arial"/>
          <w:sz w:val="24"/>
          <w:szCs w:val="24"/>
        </w:rPr>
        <w:t>Será respeitada, nas contratações, a ordem de classificação dos licitantes ou dos fornecedores registrados na ata</w:t>
      </w:r>
      <w:r>
        <w:rPr>
          <w:rFonts w:hint="default" w:ascii="Arial" w:hAnsi="Arial" w:eastAsia="SimSun" w:cs="Arial"/>
          <w:sz w:val="24"/>
          <w:szCs w:val="24"/>
          <w:lang w:val="pt-BR"/>
        </w:rPr>
        <w:t>.</w:t>
      </w:r>
    </w:p>
    <w:p w14:paraId="14AA794C">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8</w:t>
      </w:r>
      <w:r>
        <w:rPr>
          <w:rFonts w:hint="default" w:ascii="Arial" w:hAnsi="Arial" w:eastAsia="SimSun" w:cs="Arial"/>
          <w:sz w:val="24"/>
          <w:szCs w:val="24"/>
          <w:lang w:val="pt-BR"/>
        </w:rPr>
        <w:t>.2.</w:t>
      </w:r>
      <w:r>
        <w:rPr>
          <w:rFonts w:hint="default" w:ascii="Arial" w:hAnsi="Arial" w:eastAsia="SimSun" w:cs="Arial"/>
          <w:sz w:val="24"/>
          <w:szCs w:val="24"/>
        </w:rPr>
        <w:t>O registro a que se refere o item anterior, tem por objetivo a formação de cadastro de reserva para o caso de impossibilidade de atendimento pelo signatário da ata.</w:t>
      </w:r>
    </w:p>
    <w:p w14:paraId="72FAC249">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8</w:t>
      </w:r>
      <w:r>
        <w:rPr>
          <w:rFonts w:hint="default" w:ascii="Arial" w:hAnsi="Arial" w:eastAsia="SimSun" w:cs="Arial"/>
          <w:sz w:val="24"/>
          <w:szCs w:val="24"/>
          <w:lang w:val="pt-BR"/>
        </w:rPr>
        <w:t>.3.</w:t>
      </w:r>
      <w:r>
        <w:rPr>
          <w:rFonts w:hint="default" w:ascii="Arial" w:hAnsi="Arial" w:eastAsia="SimSun" w:cs="Arial"/>
          <w:sz w:val="24"/>
          <w:szCs w:val="24"/>
        </w:rPr>
        <w:t xml:space="preserve">Para fins da ordem de classificação, os licitantes ou fornecedores que aceitarem reduzir suas propostas para o preço do adjudicatário antecederão aqueles que mantiverem sua proposta original. </w:t>
      </w:r>
    </w:p>
    <w:p w14:paraId="388770FD">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eastAsia="Bookman Old Style" w:cs="Arial"/>
          <w:i w:val="0"/>
          <w:iCs w:val="0"/>
          <w:caps w:val="0"/>
          <w:color w:val="000000"/>
          <w:spacing w:val="0"/>
          <w:sz w:val="24"/>
          <w:szCs w:val="24"/>
          <w:shd w:val="clear" w:fill="FFFFFF"/>
          <w:lang w:val="pt-BR"/>
        </w:rPr>
      </w:pPr>
      <w:r>
        <w:rPr>
          <w:rFonts w:hint="default" w:eastAsia="SimSun" w:cs="Arial"/>
          <w:sz w:val="24"/>
          <w:szCs w:val="24"/>
          <w:lang w:val="pt-BR"/>
        </w:rPr>
        <w:t>8</w:t>
      </w:r>
      <w:r>
        <w:rPr>
          <w:rFonts w:hint="default" w:ascii="Arial" w:hAnsi="Arial" w:eastAsia="SimSun" w:cs="Arial"/>
          <w:sz w:val="24"/>
          <w:szCs w:val="24"/>
          <w:lang w:val="pt-BR"/>
        </w:rPr>
        <w:t>.4.</w:t>
      </w:r>
      <w:r>
        <w:rPr>
          <w:rFonts w:hint="default" w:ascii="Arial" w:hAnsi="Arial" w:eastAsia="SimSun" w:cs="Arial"/>
          <w:sz w:val="24"/>
          <w:szCs w:val="24"/>
        </w:rPr>
        <w:t xml:space="preserve"> </w:t>
      </w:r>
      <w:r>
        <w:rPr>
          <w:rFonts w:hint="default" w:eastAsia="SimSun" w:cs="Arial"/>
          <w:sz w:val="24"/>
          <w:szCs w:val="24"/>
          <w:lang w:val="pt-BR"/>
        </w:rPr>
        <w:t>O</w:t>
      </w:r>
      <w:r>
        <w:rPr>
          <w:rFonts w:hint="default" w:ascii="Arial" w:hAnsi="Arial" w:eastAsia="Bookman Old Style" w:cs="Arial"/>
          <w:i w:val="0"/>
          <w:iCs w:val="0"/>
          <w:caps w:val="0"/>
          <w:color w:val="000000"/>
          <w:spacing w:val="0"/>
          <w:sz w:val="24"/>
          <w:szCs w:val="24"/>
          <w:shd w:val="clear" w:fill="FFFFFF"/>
        </w:rPr>
        <w:t>s licitantes que desejarem ter seus preços registrados na ata de registro de preços</w:t>
      </w:r>
      <w:r>
        <w:rPr>
          <w:rFonts w:hint="default" w:eastAsia="Bookman Old Style" w:cs="Arial"/>
          <w:i w:val="0"/>
          <w:iCs w:val="0"/>
          <w:caps w:val="0"/>
          <w:color w:val="000000"/>
          <w:spacing w:val="0"/>
          <w:sz w:val="24"/>
          <w:szCs w:val="24"/>
          <w:shd w:val="clear" w:fill="FFFFFF"/>
          <w:lang w:val="pt-BR"/>
        </w:rPr>
        <w:t xml:space="preserve"> deverão se manifestar em sessão  e terão </w:t>
      </w:r>
      <w:r>
        <w:rPr>
          <w:rFonts w:hint="default" w:ascii="Arial" w:hAnsi="Arial" w:eastAsia="Bookman Old Style" w:cs="Arial"/>
          <w:i w:val="0"/>
          <w:iCs w:val="0"/>
          <w:caps w:val="0"/>
          <w:color w:val="000000"/>
          <w:spacing w:val="0"/>
          <w:sz w:val="24"/>
          <w:szCs w:val="24"/>
          <w:shd w:val="clear" w:fill="FFFFFF"/>
        </w:rPr>
        <w:t xml:space="preserve"> sua proposta</w:t>
      </w:r>
      <w:r>
        <w:rPr>
          <w:rFonts w:hint="default" w:eastAsia="Bookman Old Style" w:cs="Arial"/>
          <w:i w:val="0"/>
          <w:iCs w:val="0"/>
          <w:caps w:val="0"/>
          <w:color w:val="000000"/>
          <w:spacing w:val="0"/>
          <w:sz w:val="24"/>
          <w:szCs w:val="24"/>
          <w:shd w:val="clear" w:fill="FFFFFF"/>
          <w:lang w:val="pt-BR"/>
        </w:rPr>
        <w:t xml:space="preserve">  </w:t>
      </w:r>
      <w:r>
        <w:rPr>
          <w:rFonts w:hint="default" w:ascii="Arial" w:hAnsi="Arial" w:eastAsia="Bookman Old Style" w:cs="Arial"/>
          <w:i w:val="0"/>
          <w:iCs w:val="0"/>
          <w:caps w:val="0"/>
          <w:color w:val="000000"/>
          <w:spacing w:val="0"/>
          <w:sz w:val="24"/>
          <w:szCs w:val="24"/>
          <w:shd w:val="clear" w:fill="FFFFFF"/>
        </w:rPr>
        <w:t xml:space="preserve"> e habilitação</w:t>
      </w:r>
      <w:r>
        <w:rPr>
          <w:rFonts w:hint="default" w:eastAsia="Bookman Old Style" w:cs="Arial"/>
          <w:i w:val="0"/>
          <w:iCs w:val="0"/>
          <w:caps w:val="0"/>
          <w:color w:val="000000"/>
          <w:spacing w:val="0"/>
          <w:sz w:val="24"/>
          <w:szCs w:val="24"/>
          <w:shd w:val="clear" w:fill="FFFFFF"/>
          <w:lang w:val="pt-BR"/>
        </w:rPr>
        <w:t xml:space="preserve"> Jurídica, fiscal e trabalhista, analisadas previamente,via SICAF, sendo analisada para comprovação de habilitação, quando </w:t>
      </w:r>
      <w:r>
        <w:rPr>
          <w:rFonts w:hint="default" w:eastAsia="Bookman Old Style"/>
          <w:i w:val="0"/>
          <w:iCs w:val="0"/>
          <w:caps w:val="0"/>
          <w:color w:val="000000" w:themeColor="text1"/>
          <w:spacing w:val="0"/>
          <w:sz w:val="24"/>
          <w:szCs w:val="24"/>
          <w:shd w:val="clear" w:fill="FFFFFF"/>
          <w:lang w:val="pt-BR"/>
          <w14:textFill>
            <w14:solidFill>
              <w14:schemeClr w14:val="tx1"/>
            </w14:solidFill>
          </w14:textFill>
        </w:rPr>
        <w:t>necessidade de contratação dos licitantes remanescentes</w:t>
      </w:r>
      <w:r>
        <w:rPr>
          <w:rFonts w:hint="default" w:eastAsia="Bookman Old Style"/>
          <w:i w:val="0"/>
          <w:iCs w:val="0"/>
          <w:caps w:val="0"/>
          <w:color w:val="0000FF"/>
          <w:spacing w:val="0"/>
          <w:sz w:val="24"/>
          <w:szCs w:val="24"/>
          <w:shd w:val="clear" w:fill="FFFFFF"/>
          <w:lang w:val="pt-BR"/>
        </w:rPr>
        <w:t xml:space="preserve"> </w:t>
      </w:r>
      <w:r>
        <w:rPr>
          <w:rFonts w:hint="default" w:eastAsia="Bookman Old Style" w:cs="Arial"/>
          <w:i w:val="0"/>
          <w:iCs w:val="0"/>
          <w:caps w:val="0"/>
          <w:color w:val="000000"/>
          <w:spacing w:val="0"/>
          <w:sz w:val="24"/>
          <w:szCs w:val="24"/>
          <w:shd w:val="clear" w:fill="FFFFFF"/>
          <w:lang w:val="pt-BR"/>
        </w:rPr>
        <w:t>.</w:t>
      </w:r>
    </w:p>
    <w:p w14:paraId="6CEC146E">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8.5.</w:t>
      </w:r>
      <w:r>
        <w:rPr>
          <w:rFonts w:hint="default" w:ascii="Arial" w:hAnsi="Arial" w:eastAsia="SimSun" w:cs="Arial"/>
          <w:sz w:val="24"/>
          <w:szCs w:val="24"/>
        </w:rPr>
        <w:t xml:space="preserve">Quando o convocado não assinar a ata de registro de preços no prazo e nas condições estabelecidos no edital ou no aviso de contratação, fica facultado ao </w:t>
      </w:r>
      <w:r>
        <w:rPr>
          <w:rFonts w:hint="default" w:ascii="Arial" w:hAnsi="Arial" w:eastAsia="SimSun" w:cs="Arial"/>
          <w:sz w:val="24"/>
          <w:szCs w:val="24"/>
          <w:lang w:val="pt-BR"/>
        </w:rPr>
        <w:t>Município de Paranavaí</w:t>
      </w:r>
      <w:r>
        <w:rPr>
          <w:rFonts w:hint="default" w:ascii="Arial" w:hAnsi="Arial" w:eastAsia="SimSun" w:cs="Arial"/>
          <w:sz w:val="24"/>
          <w:szCs w:val="24"/>
        </w:rPr>
        <w:t xml:space="preserve"> convocar os licitantes remanescentes do cadastro de reserva, na ordem de classificação, para fazê-lo em igual prazo e nas condições propostas pelo primeiro classificado.</w:t>
      </w:r>
    </w:p>
    <w:p w14:paraId="7AA95B11">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8</w:t>
      </w:r>
      <w:r>
        <w:rPr>
          <w:rFonts w:hint="default" w:ascii="Arial" w:hAnsi="Arial" w:eastAsia="SimSun" w:cs="Arial"/>
          <w:sz w:val="24"/>
          <w:szCs w:val="24"/>
          <w:lang w:val="pt-BR"/>
        </w:rPr>
        <w:t>.</w:t>
      </w:r>
      <w:r>
        <w:rPr>
          <w:rFonts w:hint="default" w:eastAsia="SimSun" w:cs="Arial"/>
          <w:sz w:val="24"/>
          <w:szCs w:val="24"/>
          <w:lang w:val="pt-BR"/>
        </w:rPr>
        <w:t>6</w:t>
      </w:r>
      <w:r>
        <w:rPr>
          <w:rFonts w:hint="default" w:ascii="Arial" w:hAnsi="Arial" w:eastAsia="SimSun" w:cs="Arial"/>
          <w:sz w:val="24"/>
          <w:szCs w:val="24"/>
          <w:lang w:val="pt-BR"/>
        </w:rPr>
        <w:t>.</w:t>
      </w:r>
      <w:r>
        <w:rPr>
          <w:rFonts w:hint="default" w:ascii="Arial" w:hAnsi="Arial" w:eastAsia="SimSun" w:cs="Arial"/>
          <w:sz w:val="24"/>
          <w:szCs w:val="24"/>
        </w:rPr>
        <w:t xml:space="preserve"> Na hipótese de nenhum dos licitantes aceitar a contratação nos termos do item anterior, o </w:t>
      </w:r>
      <w:r>
        <w:rPr>
          <w:rFonts w:hint="default" w:ascii="Arial" w:hAnsi="Arial" w:eastAsia="SimSun" w:cs="Arial"/>
          <w:sz w:val="24"/>
          <w:szCs w:val="24"/>
          <w:lang w:val="pt-BR"/>
        </w:rPr>
        <w:t>Município</w:t>
      </w:r>
      <w:r>
        <w:rPr>
          <w:rFonts w:hint="default" w:ascii="Arial" w:hAnsi="Arial" w:eastAsia="SimSun" w:cs="Arial"/>
          <w:sz w:val="24"/>
          <w:szCs w:val="24"/>
        </w:rPr>
        <w:t xml:space="preserve">, observados o valor estimado e sua eventual atualização nos termos do edital poderá: </w:t>
      </w:r>
    </w:p>
    <w:p w14:paraId="4031CEB9">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8</w:t>
      </w:r>
      <w:r>
        <w:rPr>
          <w:rFonts w:hint="default" w:ascii="Arial" w:hAnsi="Arial" w:eastAsia="SimSun" w:cs="Arial"/>
          <w:sz w:val="24"/>
          <w:szCs w:val="24"/>
          <w:lang w:val="pt-BR"/>
        </w:rPr>
        <w:t>.</w:t>
      </w:r>
      <w:r>
        <w:rPr>
          <w:rFonts w:hint="default" w:eastAsia="SimSun" w:cs="Arial"/>
          <w:sz w:val="24"/>
          <w:szCs w:val="24"/>
          <w:lang w:val="pt-BR"/>
        </w:rPr>
        <w:t>6</w:t>
      </w:r>
      <w:r>
        <w:rPr>
          <w:rFonts w:hint="default" w:ascii="Arial" w:hAnsi="Arial" w:eastAsia="SimSun" w:cs="Arial"/>
          <w:sz w:val="24"/>
          <w:szCs w:val="24"/>
        </w:rPr>
        <w:t>.1. Convocar para negociação os demais licitantes ou fornecedores remanescentes cujos preços foram registrados sem redução, observada a ordem de classificação, com vistas à obtenção de preço melhor, mesmo que acima do preço do adjudicatário; ou</w:t>
      </w:r>
    </w:p>
    <w:p w14:paraId="3DD40A4B">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eastAsia="SimSun" w:cs="Arial"/>
          <w:sz w:val="24"/>
          <w:szCs w:val="24"/>
          <w:lang w:val="pt-BR"/>
        </w:rPr>
      </w:pPr>
      <w:r>
        <w:rPr>
          <w:rFonts w:hint="default" w:eastAsia="SimSun" w:cs="Arial"/>
          <w:sz w:val="24"/>
          <w:szCs w:val="24"/>
          <w:lang w:val="pt-BR"/>
        </w:rPr>
        <w:t>8</w:t>
      </w:r>
      <w:r>
        <w:rPr>
          <w:rFonts w:hint="default" w:ascii="Arial" w:hAnsi="Arial" w:eastAsia="SimSun" w:cs="Arial"/>
          <w:sz w:val="24"/>
          <w:szCs w:val="24"/>
          <w:lang w:val="pt-BR"/>
        </w:rPr>
        <w:t>.</w:t>
      </w:r>
      <w:r>
        <w:rPr>
          <w:rFonts w:hint="default" w:eastAsia="SimSun" w:cs="Arial"/>
          <w:sz w:val="24"/>
          <w:szCs w:val="24"/>
          <w:lang w:val="pt-BR"/>
        </w:rPr>
        <w:t>6</w:t>
      </w:r>
      <w:r>
        <w:rPr>
          <w:rFonts w:hint="default" w:ascii="Arial" w:hAnsi="Arial" w:eastAsia="SimSun" w:cs="Arial"/>
          <w:sz w:val="24"/>
          <w:szCs w:val="24"/>
          <w:lang w:val="pt-BR"/>
        </w:rPr>
        <w:t>.2</w:t>
      </w:r>
      <w:r>
        <w:rPr>
          <w:rFonts w:hint="default" w:ascii="Arial" w:hAnsi="Arial" w:eastAsia="SimSun" w:cs="Arial"/>
          <w:sz w:val="24"/>
          <w:szCs w:val="24"/>
        </w:rPr>
        <w:t xml:space="preserve">.Adjudicar e firmar </w:t>
      </w:r>
      <w:r>
        <w:rPr>
          <w:rFonts w:hint="default" w:eastAsia="SimSun" w:cs="Arial"/>
          <w:sz w:val="24"/>
          <w:szCs w:val="24"/>
          <w:lang w:val="pt-BR"/>
        </w:rPr>
        <w:t>a</w:t>
      </w:r>
      <w:r>
        <w:rPr>
          <w:rFonts w:hint="default" w:ascii="Arial" w:hAnsi="Arial" w:eastAsia="SimSun" w:cs="Arial"/>
          <w:sz w:val="24"/>
          <w:szCs w:val="24"/>
        </w:rPr>
        <w:t xml:space="preserve"> ARP nas condições ofertadas pelos licitantes ou fornecedores remanescentes, atendida a ordem classificatória, quando frustrada a negociação de melhor condição</w:t>
      </w:r>
      <w:r>
        <w:rPr>
          <w:rFonts w:hint="default" w:eastAsia="SimSun" w:cs="Arial"/>
          <w:sz w:val="24"/>
          <w:szCs w:val="24"/>
          <w:lang w:val="pt-BR"/>
        </w:rPr>
        <w:t>.</w:t>
      </w:r>
    </w:p>
    <w:p w14:paraId="7A02FC32">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eastAsia="SimSun" w:cs="Arial"/>
          <w:sz w:val="24"/>
          <w:szCs w:val="24"/>
          <w:lang w:val="pt-BR"/>
        </w:rPr>
      </w:pPr>
      <w:r>
        <w:rPr>
          <w:rFonts w:hint="default" w:eastAsia="SimSun" w:cs="Arial"/>
          <w:sz w:val="24"/>
          <w:szCs w:val="24"/>
          <w:lang w:val="pt-BR"/>
        </w:rPr>
        <w:t>8.7. Será comunicado e registrado na sessão , se não houver manifestação de fornecedores interessados em registrar os preços na Ata de Registro de Preços ou se não houver fornecedores aptos .</w:t>
      </w:r>
    </w:p>
    <w:p w14:paraId="69BB1935">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lang w:val="pt-BR" w:eastAsia="zh-CN"/>
        </w:rPr>
      </w:pPr>
      <w:r>
        <w:rPr>
          <w:rFonts w:hint="default" w:eastAsia="SimSun" w:cs="Arial"/>
          <w:sz w:val="24"/>
          <w:szCs w:val="24"/>
          <w:lang w:val="pt-BR"/>
        </w:rPr>
        <w:t>8</w:t>
      </w:r>
      <w:r>
        <w:rPr>
          <w:rFonts w:hint="default" w:ascii="Arial" w:hAnsi="Arial" w:eastAsia="SimSun" w:cs="Arial"/>
          <w:sz w:val="24"/>
          <w:szCs w:val="24"/>
          <w:lang w:val="pt-BR"/>
        </w:rPr>
        <w:t>.</w:t>
      </w:r>
      <w:r>
        <w:rPr>
          <w:rFonts w:hint="default" w:eastAsia="SimSun" w:cs="Arial"/>
          <w:sz w:val="24"/>
          <w:szCs w:val="24"/>
          <w:lang w:val="pt-BR"/>
        </w:rPr>
        <w:t>8</w:t>
      </w:r>
      <w:r>
        <w:rPr>
          <w:rFonts w:hint="default" w:ascii="Arial" w:hAnsi="Arial" w:eastAsia="SimSun" w:cs="Arial"/>
          <w:sz w:val="24"/>
          <w:szCs w:val="24"/>
          <w:lang w:val="pt-BR"/>
        </w:rPr>
        <w:t>.</w:t>
      </w:r>
      <w:r>
        <w:rPr>
          <w:rFonts w:hint="default" w:ascii="Arial" w:hAnsi="Arial" w:eastAsia="SimSun" w:cs="Arial"/>
          <w:sz w:val="24"/>
          <w:szCs w:val="24"/>
        </w:rPr>
        <w:t>O</w:t>
      </w:r>
      <w:r>
        <w:rPr>
          <w:rFonts w:hint="default" w:ascii="Arial" w:hAnsi="Arial" w:eastAsia="SimSun" w:cs="Arial"/>
          <w:sz w:val="24"/>
          <w:szCs w:val="24"/>
          <w:lang w:val="pt-BR"/>
        </w:rPr>
        <w:t>s</w:t>
      </w:r>
      <w:r>
        <w:rPr>
          <w:rFonts w:hint="default" w:ascii="Arial" w:hAnsi="Arial" w:eastAsia="SimSun" w:cs="Arial"/>
          <w:sz w:val="24"/>
          <w:szCs w:val="24"/>
        </w:rPr>
        <w:t xml:space="preserve"> preço</w:t>
      </w:r>
      <w:r>
        <w:rPr>
          <w:rFonts w:hint="default" w:ascii="Arial" w:hAnsi="Arial" w:eastAsia="SimSun" w:cs="Arial"/>
          <w:sz w:val="24"/>
          <w:szCs w:val="24"/>
          <w:lang w:val="pt-BR"/>
        </w:rPr>
        <w:t>s</w:t>
      </w:r>
      <w:r>
        <w:rPr>
          <w:rFonts w:hint="default" w:ascii="Arial" w:hAnsi="Arial" w:eastAsia="SimSun" w:cs="Arial"/>
          <w:sz w:val="24"/>
          <w:szCs w:val="24"/>
        </w:rPr>
        <w:t xml:space="preserve"> registrado</w:t>
      </w:r>
      <w:r>
        <w:rPr>
          <w:rFonts w:hint="default" w:ascii="Arial" w:hAnsi="Arial" w:eastAsia="SimSun" w:cs="Arial"/>
          <w:sz w:val="24"/>
          <w:szCs w:val="24"/>
          <w:lang w:val="pt-BR"/>
        </w:rPr>
        <w:t>s</w:t>
      </w:r>
      <w:r>
        <w:rPr>
          <w:rFonts w:hint="default" w:ascii="Arial" w:hAnsi="Arial" w:eastAsia="SimSun" w:cs="Arial"/>
          <w:sz w:val="24"/>
          <w:szCs w:val="24"/>
        </w:rPr>
        <w:t xml:space="preserve"> com indicação dos licitantes e fornecedores será divulgado no PNCP e ficará disponibilizado durante a vigência da ata de registro de preços.</w:t>
      </w:r>
    </w:p>
    <w:p w14:paraId="35EDAEC5">
      <w:pPr>
        <w:pStyle w:val="117"/>
        <w:numPr>
          <w:ilvl w:val="0"/>
          <w:numId w:val="0"/>
        </w:numPr>
        <w:ind w:left="0" w:firstLine="0"/>
        <w:rPr>
          <w:rFonts w:hint="default"/>
          <w:sz w:val="22"/>
          <w:szCs w:val="22"/>
          <w:lang w:val="pt-BR"/>
        </w:rPr>
      </w:pPr>
      <w:r>
        <w:rPr>
          <w:rFonts w:hint="default"/>
          <w:sz w:val="22"/>
          <w:szCs w:val="22"/>
          <w:lang w:val="pt-BR"/>
        </w:rPr>
        <w:t>9. DA ALTERAÇÃO DE MARCA DO PRODUTO</w:t>
      </w:r>
    </w:p>
    <w:p w14:paraId="195BF3A4">
      <w:pPr>
        <w:spacing w:line="360" w:lineRule="auto"/>
        <w:jc w:val="both"/>
        <w:rPr>
          <w:rStyle w:val="59"/>
          <w:rFonts w:hint="default" w:ascii="Arial" w:hAnsi="Arial" w:eastAsia="Segoe UI" w:cs="Arial"/>
          <w:i w:val="0"/>
          <w:iCs w:val="0"/>
          <w:caps w:val="0"/>
          <w:color w:val="000000"/>
          <w:spacing w:val="0"/>
          <w:sz w:val="24"/>
          <w:szCs w:val="24"/>
          <w:shd w:val="clear" w:fill="FFFFFF"/>
        </w:rPr>
      </w:pPr>
      <w:r>
        <w:rPr>
          <w:rFonts w:hint="default"/>
          <w:sz w:val="22"/>
          <w:szCs w:val="22"/>
          <w:lang w:val="pt-BR"/>
        </w:rPr>
        <w:t>9.1.</w:t>
      </w:r>
      <w:r>
        <w:rPr>
          <w:rStyle w:val="59"/>
          <w:rFonts w:hint="default" w:ascii="Arial" w:hAnsi="Arial" w:eastAsia="Segoe UI" w:cs="Arial"/>
          <w:i w:val="0"/>
          <w:iCs w:val="0"/>
          <w:caps w:val="0"/>
          <w:color w:val="000000"/>
          <w:spacing w:val="0"/>
          <w:sz w:val="24"/>
          <w:szCs w:val="24"/>
          <w:shd w:val="clear" w:fill="FFFFFF"/>
          <w:lang w:val="pt-BR"/>
        </w:rPr>
        <w:t>S</w:t>
      </w:r>
      <w:r>
        <w:rPr>
          <w:rStyle w:val="59"/>
          <w:rFonts w:hint="default" w:ascii="Arial" w:hAnsi="Arial" w:eastAsia="Segoe UI" w:cs="Arial"/>
          <w:i w:val="0"/>
          <w:iCs w:val="0"/>
          <w:caps w:val="0"/>
          <w:color w:val="000000"/>
          <w:spacing w:val="0"/>
          <w:sz w:val="24"/>
          <w:szCs w:val="24"/>
          <w:shd w:val="clear" w:fill="FFFFFF"/>
        </w:rPr>
        <w:t xml:space="preserve">erá admitida a alteração da marca pelo fornecedor, sempre que a nova marca indicada cumprir os requisitos previstos em edital, e decorrente de motivo justificado superveniente à formulação da proposta. </w:t>
      </w:r>
    </w:p>
    <w:p w14:paraId="5BE1C6D3">
      <w:pPr>
        <w:spacing w:line="360" w:lineRule="auto"/>
        <w:jc w:val="both"/>
        <w:rPr>
          <w:rFonts w:hint="default"/>
          <w:sz w:val="22"/>
          <w:szCs w:val="22"/>
          <w:lang w:val="pt-BR"/>
        </w:rPr>
      </w:pPr>
      <w:r>
        <w:rPr>
          <w:rStyle w:val="59"/>
          <w:rFonts w:hint="default" w:eastAsia="Segoe UI" w:cs="Arial"/>
          <w:i w:val="0"/>
          <w:iCs w:val="0"/>
          <w:caps w:val="0"/>
          <w:color w:val="000000"/>
          <w:spacing w:val="0"/>
          <w:sz w:val="24"/>
          <w:szCs w:val="24"/>
          <w:shd w:val="clear" w:fill="FFFFFF"/>
          <w:lang w:val="pt-BR"/>
        </w:rPr>
        <w:t>9</w:t>
      </w:r>
      <w:r>
        <w:rPr>
          <w:rStyle w:val="59"/>
          <w:rFonts w:hint="default" w:ascii="Arial" w:hAnsi="Arial" w:eastAsia="Segoe UI" w:cs="Arial"/>
          <w:i w:val="0"/>
          <w:iCs w:val="0"/>
          <w:caps w:val="0"/>
          <w:color w:val="000000"/>
          <w:spacing w:val="0"/>
          <w:sz w:val="24"/>
          <w:szCs w:val="24"/>
          <w:shd w:val="clear" w:fill="FFFFFF"/>
          <w:lang w:val="pt-BR"/>
        </w:rPr>
        <w:t>.</w:t>
      </w:r>
      <w:r>
        <w:rPr>
          <w:rStyle w:val="59"/>
          <w:rFonts w:hint="default" w:eastAsia="Segoe UI" w:cs="Arial"/>
          <w:i w:val="0"/>
          <w:iCs w:val="0"/>
          <w:caps w:val="0"/>
          <w:color w:val="000000"/>
          <w:spacing w:val="0"/>
          <w:sz w:val="24"/>
          <w:szCs w:val="24"/>
          <w:shd w:val="clear" w:fill="FFFFFF"/>
          <w:lang w:val="pt-BR"/>
        </w:rPr>
        <w:t>2</w:t>
      </w:r>
      <w:r>
        <w:rPr>
          <w:rStyle w:val="59"/>
          <w:rFonts w:hint="default" w:ascii="Arial" w:hAnsi="Arial" w:eastAsia="Segoe UI" w:cs="Arial"/>
          <w:i w:val="0"/>
          <w:iCs w:val="0"/>
          <w:caps w:val="0"/>
          <w:color w:val="000000"/>
          <w:spacing w:val="0"/>
          <w:sz w:val="24"/>
          <w:szCs w:val="24"/>
          <w:shd w:val="clear" w:fill="FFFFFF"/>
          <w:lang w:val="pt-BR"/>
        </w:rPr>
        <w:t>.</w:t>
      </w:r>
      <w:r>
        <w:rPr>
          <w:rStyle w:val="59"/>
          <w:rFonts w:hint="default" w:ascii="Arial" w:hAnsi="Arial" w:eastAsia="Segoe UI" w:cs="Arial"/>
          <w:i w:val="0"/>
          <w:iCs w:val="0"/>
          <w:caps w:val="0"/>
          <w:color w:val="000000"/>
          <w:spacing w:val="0"/>
          <w:sz w:val="24"/>
          <w:szCs w:val="24"/>
          <w:shd w:val="clear" w:fill="FFFFFF"/>
        </w:rPr>
        <w:t xml:space="preserve"> </w:t>
      </w:r>
      <w:r>
        <w:rPr>
          <w:rStyle w:val="59"/>
          <w:rFonts w:hint="default" w:eastAsia="Segoe UI" w:cs="Arial"/>
          <w:i w:val="0"/>
          <w:iCs w:val="0"/>
          <w:caps w:val="0"/>
          <w:color w:val="000000"/>
          <w:spacing w:val="0"/>
          <w:sz w:val="24"/>
          <w:szCs w:val="24"/>
          <w:shd w:val="clear" w:fill="FFFFFF"/>
          <w:lang w:val="pt-BR"/>
        </w:rPr>
        <w:t>O</w:t>
      </w:r>
      <w:r>
        <w:rPr>
          <w:rStyle w:val="59"/>
          <w:rFonts w:hint="default" w:ascii="Arial" w:hAnsi="Arial" w:eastAsia="Segoe UI" w:cs="Arial"/>
          <w:i w:val="0"/>
          <w:iCs w:val="0"/>
          <w:caps w:val="0"/>
          <w:color w:val="000000"/>
          <w:spacing w:val="0"/>
          <w:sz w:val="24"/>
          <w:szCs w:val="24"/>
          <w:shd w:val="clear" w:fill="FFFFFF"/>
        </w:rPr>
        <w:t xml:space="preserve"> disposta  será válida para todos os contratos, inclusive aqueles não decorrentes de sistema de registro de preços, e aplicada também na etapa de julgamento das propostas na licitação e</w:t>
      </w:r>
      <w:r>
        <w:rPr>
          <w:rStyle w:val="59"/>
          <w:rFonts w:hint="default" w:ascii="Arial" w:hAnsi="Arial" w:eastAsia="Segoe UI" w:cs="Arial"/>
          <w:i w:val="0"/>
          <w:iCs w:val="0"/>
          <w:caps w:val="0"/>
          <w:color w:val="000000"/>
          <w:spacing w:val="0"/>
          <w:sz w:val="24"/>
          <w:szCs w:val="24"/>
          <w:shd w:val="clear" w:fill="FFFFFF"/>
          <w:lang w:val="pt-BR"/>
        </w:rPr>
        <w:t xml:space="preserve"> </w:t>
      </w:r>
      <w:r>
        <w:rPr>
          <w:rStyle w:val="59"/>
          <w:rFonts w:hint="default" w:ascii="Arial" w:hAnsi="Arial" w:eastAsia="Segoe UI" w:cs="Arial"/>
          <w:i w:val="0"/>
          <w:iCs w:val="0"/>
          <w:caps w:val="0"/>
          <w:color w:val="000000"/>
          <w:spacing w:val="0"/>
          <w:sz w:val="24"/>
          <w:szCs w:val="24"/>
          <w:shd w:val="clear" w:fill="FFFFFF"/>
        </w:rPr>
        <w:t>para os casos de substituição de subcontratados, de responsáveis técnicos e profissionais indicados na proposta do contratado.</w:t>
      </w:r>
    </w:p>
    <w:p w14:paraId="23E9D995">
      <w:pPr>
        <w:pStyle w:val="117"/>
        <w:numPr>
          <w:ilvl w:val="0"/>
          <w:numId w:val="0"/>
        </w:numPr>
        <w:ind w:leftChars="0"/>
        <w:rPr>
          <w:sz w:val="22"/>
          <w:szCs w:val="22"/>
        </w:rPr>
      </w:pPr>
      <w:r>
        <w:rPr>
          <w:rFonts w:hint="default"/>
          <w:sz w:val="22"/>
          <w:szCs w:val="22"/>
          <w:lang w:val="pt-BR"/>
        </w:rPr>
        <w:t>10. DO REAJUSTE</w:t>
      </w:r>
    </w:p>
    <w:p w14:paraId="21908E4D">
      <w:pPr>
        <w:pStyle w:val="20"/>
        <w:keepNext w:val="0"/>
        <w:keepLines w:val="0"/>
        <w:widowControl/>
        <w:suppressLineNumbers w:val="0"/>
        <w:spacing w:before="0" w:beforeAutospacing="0" w:after="0" w:afterAutospacing="0" w:line="360" w:lineRule="auto"/>
        <w:ind w:left="0" w:right="0"/>
        <w:jc w:val="both"/>
        <w:rPr>
          <w:rFonts w:hint="default" w:ascii="Arial" w:hAnsi="Arial" w:cs="Arial"/>
          <w:sz w:val="24"/>
          <w:szCs w:val="24"/>
          <w:lang w:val="pt-BR"/>
        </w:rPr>
      </w:pPr>
      <w:r>
        <w:rPr>
          <w:rFonts w:hint="default" w:ascii="Arial" w:hAnsi="Arial" w:cs="Arial"/>
          <w:sz w:val="24"/>
          <w:szCs w:val="24"/>
          <w:lang w:val="pt-BR"/>
        </w:rPr>
        <w:t>10.1.</w:t>
      </w:r>
      <w:r>
        <w:rPr>
          <w:rStyle w:val="59"/>
          <w:rFonts w:hint="default" w:ascii="Arial" w:hAnsi="Arial" w:eastAsia="Segoe UI" w:cs="Arial"/>
          <w:i w:val="0"/>
          <w:iCs w:val="0"/>
          <w:caps w:val="0"/>
          <w:color w:val="000000"/>
          <w:spacing w:val="0"/>
          <w:sz w:val="24"/>
          <w:szCs w:val="24"/>
          <w:shd w:val="clear" w:fill="FFFFFF"/>
        </w:rPr>
        <w:t xml:space="preserve">O preço poderá ser reajustado, de ofício, pelo contratante, conforme variação do IPCA (IBGE) - Índice Nacional de Preços ao Consumidor Amplo, após 12 (doze) meses contados da data- base da data do orçamento estimado; conforme o caso, poderá ser aplicado </w:t>
      </w:r>
      <w:r>
        <w:rPr>
          <w:rStyle w:val="59"/>
          <w:rFonts w:hint="default" w:ascii="Arial" w:hAnsi="Arial" w:eastAsia="Segoe UI" w:cs="Arial"/>
          <w:i w:val="0"/>
          <w:iCs w:val="0"/>
          <w:caps w:val="0"/>
          <w:color w:val="000000"/>
          <w:spacing w:val="0"/>
          <w:sz w:val="24"/>
          <w:szCs w:val="24"/>
          <w:shd w:val="clear" w:fill="FFFFFF"/>
          <w:lang w:val="pt-BR"/>
        </w:rPr>
        <w:t xml:space="preserve">outro </w:t>
      </w:r>
      <w:r>
        <w:rPr>
          <w:rStyle w:val="59"/>
          <w:rFonts w:hint="default" w:ascii="Arial" w:hAnsi="Arial" w:eastAsia="Segoe UI" w:cs="Arial"/>
          <w:i w:val="0"/>
          <w:iCs w:val="0"/>
          <w:caps w:val="0"/>
          <w:color w:val="000000"/>
          <w:spacing w:val="0"/>
          <w:sz w:val="24"/>
          <w:szCs w:val="24"/>
          <w:shd w:val="clear" w:fill="FFFFFF"/>
        </w:rPr>
        <w:t xml:space="preserve">índice para </w:t>
      </w:r>
      <w:r>
        <w:rPr>
          <w:rStyle w:val="59"/>
          <w:rFonts w:hint="default" w:ascii="Arial" w:hAnsi="Arial" w:eastAsia="Segoe UI" w:cs="Arial"/>
          <w:i w:val="0"/>
          <w:iCs w:val="0"/>
          <w:caps w:val="0"/>
          <w:color w:val="000000"/>
          <w:spacing w:val="0"/>
          <w:sz w:val="24"/>
          <w:szCs w:val="24"/>
          <w:shd w:val="clear" w:fill="FFFFFF"/>
          <w:lang w:val="pt-BR"/>
        </w:rPr>
        <w:t>reajuste, caso o indicado não esteja atualizado em conformidade com mercado.</w:t>
      </w:r>
    </w:p>
    <w:p w14:paraId="253ED7B9">
      <w:pPr>
        <w:pStyle w:val="117"/>
        <w:numPr>
          <w:ilvl w:val="0"/>
          <w:numId w:val="0"/>
        </w:numPr>
        <w:ind w:leftChars="0"/>
        <w:rPr>
          <w:sz w:val="22"/>
          <w:szCs w:val="22"/>
        </w:rPr>
      </w:pPr>
      <w:r>
        <w:rPr>
          <w:rFonts w:hint="default"/>
          <w:sz w:val="22"/>
          <w:szCs w:val="22"/>
          <w:lang w:val="pt-BR"/>
        </w:rPr>
        <w:t xml:space="preserve">11. ACESSO À </w:t>
      </w:r>
      <w:r>
        <w:rPr>
          <w:sz w:val="22"/>
          <w:szCs w:val="22"/>
        </w:rPr>
        <w:t xml:space="preserve">INFORMAÇÕES </w:t>
      </w:r>
    </w:p>
    <w:p w14:paraId="6CE6E22F">
      <w:pPr>
        <w:tabs>
          <w:tab w:val="left" w:pos="0"/>
        </w:tabs>
        <w:jc w:val="both"/>
        <w:rPr>
          <w:sz w:val="22"/>
        </w:rPr>
      </w:pPr>
      <w:r>
        <w:rPr>
          <w:rFonts w:hint="default"/>
          <w:sz w:val="22"/>
          <w:lang w:val="pt-BR"/>
        </w:rPr>
        <w:t>11</w:t>
      </w:r>
      <w:r>
        <w:rPr>
          <w:sz w:val="22"/>
        </w:rPr>
        <w:t xml:space="preserve">.1.A empresa vencedora poderá ter acesso às informações relacionadas ao </w:t>
      </w:r>
      <w:r>
        <w:rPr>
          <w:rFonts w:hint="default"/>
          <w:sz w:val="22"/>
          <w:lang w:val="pt-BR"/>
        </w:rPr>
        <w:t>pagamento</w:t>
      </w:r>
      <w:r>
        <w:rPr>
          <w:sz w:val="22"/>
        </w:rPr>
        <w:t xml:space="preserve"> no Autoatendimento do Portal do Cidadão, mediante login via sistema, acessando o link: </w:t>
      </w:r>
      <w:r>
        <w:fldChar w:fldCharType="begin"/>
      </w:r>
      <w:r>
        <w:instrText xml:space="preserve"> HYPERLINK "https://paranavai.atende.net/autoatendimento" \h </w:instrText>
      </w:r>
      <w:r>
        <w:fldChar w:fldCharType="separate"/>
      </w:r>
      <w:r>
        <w:rPr>
          <w:rStyle w:val="15"/>
          <w:sz w:val="22"/>
        </w:rPr>
        <w:t>https://paranavai.atende.net/autoatendimento</w:t>
      </w:r>
      <w:r>
        <w:rPr>
          <w:rStyle w:val="15"/>
          <w:sz w:val="22"/>
        </w:rPr>
        <w:fldChar w:fldCharType="end"/>
      </w:r>
      <w:r>
        <w:rPr>
          <w:sz w:val="22"/>
        </w:rPr>
        <w:t>.</w:t>
      </w:r>
    </w:p>
    <w:p w14:paraId="0B7CD15F">
      <w:pPr>
        <w:pStyle w:val="41"/>
        <w:ind w:left="0"/>
        <w:jc w:val="both"/>
        <w:rPr>
          <w:b/>
          <w:bCs/>
          <w:szCs w:val="24"/>
        </w:rPr>
      </w:pPr>
    </w:p>
    <w:p w14:paraId="7988BE54">
      <w:pPr>
        <w:pStyle w:val="41"/>
        <w:ind w:left="0"/>
        <w:jc w:val="both"/>
        <w:rPr>
          <w:b/>
          <w:bCs/>
          <w:szCs w:val="24"/>
        </w:rPr>
      </w:pPr>
    </w:p>
    <w:p w14:paraId="5469FB27">
      <w:pPr>
        <w:spacing w:before="0" w:after="0"/>
        <w:jc w:val="center"/>
        <w:rPr>
          <w:rFonts w:cs="Arial"/>
          <w:b/>
          <w:bCs/>
          <w:sz w:val="22"/>
          <w:lang w:val="pt-BR"/>
        </w:rPr>
      </w:pPr>
    </w:p>
    <w:p w14:paraId="04860E04">
      <w:pPr>
        <w:spacing w:before="0" w:after="0"/>
        <w:jc w:val="center"/>
        <w:rPr>
          <w:rFonts w:cs="Arial"/>
          <w:b/>
          <w:bCs/>
          <w:sz w:val="22"/>
          <w:lang w:val="pt-BR"/>
        </w:rPr>
      </w:pPr>
    </w:p>
    <w:p w14:paraId="7A4C5356">
      <w:pPr>
        <w:spacing w:before="0" w:after="0"/>
        <w:jc w:val="center"/>
        <w:rPr>
          <w:rFonts w:cs="Arial"/>
          <w:b/>
          <w:bCs/>
          <w:sz w:val="22"/>
          <w:lang w:val="pt-BR"/>
        </w:rPr>
      </w:pPr>
    </w:p>
    <w:p w14:paraId="2C8CCC9F">
      <w:pPr>
        <w:spacing w:before="0" w:after="0"/>
        <w:jc w:val="center"/>
        <w:rPr>
          <w:rFonts w:cs="Arial"/>
          <w:b/>
          <w:bCs/>
          <w:sz w:val="22"/>
          <w:lang w:val="pt-BR"/>
        </w:rPr>
      </w:pPr>
    </w:p>
    <w:p w14:paraId="50B882C1">
      <w:pPr>
        <w:spacing w:before="0" w:after="0"/>
        <w:jc w:val="center"/>
        <w:rPr>
          <w:rFonts w:cs="Arial"/>
          <w:b/>
          <w:bCs/>
          <w:sz w:val="22"/>
          <w:lang w:val="pt-BR"/>
        </w:rPr>
      </w:pPr>
    </w:p>
    <w:p w14:paraId="68748DFE">
      <w:pPr>
        <w:spacing w:before="0" w:after="0"/>
        <w:jc w:val="center"/>
        <w:rPr>
          <w:rFonts w:cs="Arial"/>
          <w:b/>
          <w:bCs/>
          <w:sz w:val="22"/>
          <w:lang w:val="pt-BR"/>
        </w:rPr>
      </w:pPr>
    </w:p>
    <w:p w14:paraId="5CD350E5">
      <w:pPr>
        <w:spacing w:before="0" w:after="0"/>
        <w:jc w:val="center"/>
        <w:rPr>
          <w:rFonts w:cs="Arial"/>
          <w:b/>
          <w:bCs/>
          <w:sz w:val="22"/>
          <w:lang w:val="pt-BR"/>
        </w:rPr>
      </w:pPr>
    </w:p>
    <w:p w14:paraId="34A66BC4">
      <w:pPr>
        <w:spacing w:before="0" w:after="0"/>
        <w:jc w:val="center"/>
        <w:rPr>
          <w:rFonts w:cs="Arial"/>
          <w:b/>
          <w:bCs/>
          <w:sz w:val="22"/>
          <w:lang w:val="pt-BR"/>
        </w:rPr>
      </w:pPr>
    </w:p>
    <w:p w14:paraId="085D996A">
      <w:pPr>
        <w:spacing w:before="0" w:after="0"/>
        <w:jc w:val="center"/>
        <w:rPr>
          <w:rFonts w:cs="Arial"/>
          <w:b/>
          <w:bCs/>
          <w:sz w:val="22"/>
          <w:lang w:val="pt-BR"/>
        </w:rPr>
      </w:pPr>
    </w:p>
    <w:p w14:paraId="247EDC1F">
      <w:pPr>
        <w:spacing w:before="0" w:after="0"/>
        <w:jc w:val="center"/>
        <w:rPr>
          <w:rFonts w:cs="Arial"/>
          <w:b/>
          <w:bCs/>
          <w:sz w:val="22"/>
          <w:lang w:val="pt-BR"/>
        </w:rPr>
      </w:pPr>
    </w:p>
    <w:p w14:paraId="7E907D6D">
      <w:pPr>
        <w:spacing w:before="0" w:after="0"/>
        <w:jc w:val="center"/>
        <w:rPr>
          <w:rFonts w:cs="Arial"/>
          <w:b/>
          <w:bCs/>
          <w:sz w:val="22"/>
          <w:lang w:val="pt-BR"/>
        </w:rPr>
      </w:pPr>
    </w:p>
    <w:p w14:paraId="71B1F360">
      <w:pPr>
        <w:spacing w:before="0" w:after="0"/>
        <w:jc w:val="center"/>
        <w:rPr>
          <w:rFonts w:cs="Arial"/>
          <w:b/>
          <w:bCs/>
          <w:sz w:val="22"/>
          <w:lang w:val="pt-BR"/>
        </w:rPr>
      </w:pPr>
    </w:p>
    <w:p w14:paraId="4C2F0DCE">
      <w:pPr>
        <w:spacing w:before="0" w:after="0"/>
        <w:jc w:val="center"/>
        <w:rPr>
          <w:rFonts w:cs="Arial"/>
          <w:b/>
          <w:bCs/>
          <w:sz w:val="22"/>
          <w:lang w:val="pt-BR"/>
        </w:rPr>
      </w:pPr>
    </w:p>
    <w:p w14:paraId="1914557B">
      <w:pPr>
        <w:spacing w:before="0" w:after="0"/>
        <w:jc w:val="center"/>
        <w:rPr>
          <w:rFonts w:cs="Arial"/>
          <w:b/>
          <w:bCs/>
          <w:sz w:val="22"/>
          <w:lang w:val="pt-BR"/>
        </w:rPr>
      </w:pPr>
    </w:p>
    <w:p w14:paraId="79B6193D">
      <w:pPr>
        <w:spacing w:before="0" w:after="0"/>
        <w:jc w:val="center"/>
        <w:rPr>
          <w:rFonts w:cs="Arial"/>
          <w:b/>
          <w:bCs/>
          <w:sz w:val="22"/>
          <w:lang w:val="pt-BR"/>
        </w:rPr>
      </w:pPr>
    </w:p>
    <w:p w14:paraId="34D3C1B3">
      <w:pPr>
        <w:spacing w:before="0" w:after="0"/>
        <w:jc w:val="center"/>
        <w:rPr>
          <w:rFonts w:cs="Arial"/>
          <w:b/>
          <w:bCs/>
          <w:sz w:val="22"/>
          <w:lang w:val="pt-BR"/>
        </w:rPr>
      </w:pPr>
    </w:p>
    <w:p w14:paraId="1C48CA50">
      <w:pPr>
        <w:spacing w:before="0" w:after="0"/>
        <w:jc w:val="center"/>
        <w:rPr>
          <w:rFonts w:cs="Arial"/>
          <w:b/>
          <w:bCs/>
          <w:sz w:val="22"/>
          <w:lang w:val="pt-BR"/>
        </w:rPr>
      </w:pPr>
    </w:p>
    <w:p w14:paraId="00994AA8">
      <w:pPr>
        <w:spacing w:before="0" w:after="0"/>
        <w:jc w:val="center"/>
        <w:rPr>
          <w:rFonts w:cs="Arial"/>
          <w:b/>
          <w:bCs/>
          <w:sz w:val="22"/>
          <w:lang w:val="pt-BR"/>
        </w:rPr>
      </w:pPr>
    </w:p>
    <w:p w14:paraId="630FAF7B">
      <w:pPr>
        <w:spacing w:before="0" w:after="0"/>
        <w:jc w:val="center"/>
        <w:rPr>
          <w:rFonts w:hint="default" w:cs="Arial"/>
          <w:b/>
          <w:bCs/>
          <w:sz w:val="22"/>
          <w:lang w:val="pt-BR"/>
        </w:rPr>
      </w:pPr>
      <w:r>
        <w:rPr>
          <w:rFonts w:cs="Arial"/>
          <w:b/>
          <w:bCs/>
          <w:sz w:val="22"/>
          <w:lang w:val="pt-BR"/>
        </w:rPr>
        <w:t>E</w:t>
      </w:r>
      <w:r>
        <w:rPr>
          <w:rFonts w:cs="Arial"/>
          <w:b/>
          <w:bCs/>
          <w:sz w:val="22"/>
        </w:rPr>
        <w:t xml:space="preserve">DITAL DA </w:t>
      </w:r>
      <w:sdt>
        <w:sdtPr>
          <w:alias w:val="Edital"/>
          <w:tag w:val="Edital"/>
          <w:id w:val="351070898"/>
          <w:placeholder>
            <w:docPart w:val="270D7EBE5D334267A7B47F0DEF7729D7"/>
          </w:placeholder>
          <w:comboBox>
            <w:listItem w:displayText="CLIQUE PARA ESCOLHER UMA OPÇÃO" w:value="CLIQUE PARA ESCOLHER UMA OPÇÃO"/>
            <w:listItem w:displayText="LICITAÇÃO" w:value="LICITAÇÃO"/>
            <w:listItem w:displayText="DISPENSA ELETRÔNICA" w:value="DISPENSA ELETRÔNICA"/>
          </w:comboBox>
        </w:sdtPr>
        <w:sdtContent>
          <w:r>
            <w:rPr>
              <w:rFonts w:cs="Arial"/>
              <w:b/>
              <w:bCs/>
              <w:sz w:val="22"/>
            </w:rPr>
            <w:t>LICITAÇÃO</w:t>
          </w:r>
        </w:sdtContent>
      </w:sdt>
      <w:r>
        <w:rPr>
          <w:rFonts w:cs="Arial"/>
          <w:b/>
          <w:bCs/>
          <w:sz w:val="22"/>
        </w:rPr>
        <w:t xml:space="preserve"> Nº </w:t>
      </w:r>
      <w:r>
        <w:rPr>
          <w:rFonts w:hint="default" w:cs="Arial"/>
          <w:b/>
          <w:bCs/>
          <w:sz w:val="22"/>
          <w:lang w:val="pt-BR"/>
        </w:rPr>
        <w:t>012</w:t>
      </w:r>
      <w:r>
        <w:rPr>
          <w:rFonts w:cs="Arial"/>
          <w:b/>
          <w:bCs/>
          <w:sz w:val="22"/>
        </w:rPr>
        <w:t>/202</w:t>
      </w:r>
      <w:r>
        <w:rPr>
          <w:rFonts w:hint="default" w:cs="Arial"/>
          <w:b/>
          <w:bCs/>
          <w:sz w:val="22"/>
          <w:lang w:val="pt-BR"/>
        </w:rPr>
        <w:t>6  - RETIFICADO</w:t>
      </w:r>
    </w:p>
    <w:p w14:paraId="5C82A527">
      <w:pPr>
        <w:jc w:val="center"/>
        <w:rPr>
          <w:rFonts w:cs="Arial"/>
          <w:b/>
          <w:bCs/>
          <w:sz w:val="22"/>
        </w:rPr>
      </w:pPr>
      <w:r>
        <w:rPr>
          <w:rFonts w:cs="Arial"/>
          <w:b/>
          <w:bCs/>
          <w:sz w:val="22"/>
        </w:rPr>
        <w:t>ANEXO II</w:t>
      </w:r>
    </w:p>
    <w:p w14:paraId="69C64C09">
      <w:pPr>
        <w:spacing w:before="0" w:after="0"/>
        <w:jc w:val="center"/>
        <w:rPr>
          <w:rFonts w:cs="Arial"/>
          <w:b/>
          <w:bCs/>
          <w:sz w:val="22"/>
        </w:rPr>
      </w:pPr>
      <w:r>
        <w:rPr>
          <w:rFonts w:cs="Arial"/>
          <w:b/>
          <w:bCs/>
          <w:sz w:val="22"/>
        </w:rPr>
        <w:t>MODELO DE PROPOSTA DE PREÇOS AJUSTADA</w:t>
      </w:r>
    </w:p>
    <w:p w14:paraId="31425FC6">
      <w:pPr>
        <w:pStyle w:val="117"/>
        <w:numPr>
          <w:ilvl w:val="0"/>
          <w:numId w:val="17"/>
        </w:numPr>
        <w:rPr>
          <w:sz w:val="20"/>
          <w:szCs w:val="20"/>
        </w:rPr>
      </w:pPr>
      <w:r>
        <w:rPr>
          <w:sz w:val="20"/>
          <w:szCs w:val="20"/>
        </w:rPr>
        <w:t>DADOS DO FORNECEDOR</w:t>
      </w:r>
    </w:p>
    <w:p w14:paraId="0D5EE37A">
      <w:pPr>
        <w:spacing w:before="0" w:after="0"/>
        <w:rPr>
          <w:rFonts w:cs="Arial"/>
          <w:b/>
          <w:sz w:val="20"/>
          <w:szCs w:val="20"/>
        </w:rPr>
      </w:pPr>
      <w:r>
        <w:rPr>
          <w:rFonts w:cs="Arial"/>
          <w:sz w:val="20"/>
          <w:szCs w:val="20"/>
        </w:rPr>
        <w:t xml:space="preserve">Razão social: .......... </w:t>
      </w:r>
    </w:p>
    <w:p w14:paraId="1286E8DC">
      <w:pPr>
        <w:spacing w:before="0" w:after="0"/>
        <w:rPr>
          <w:rFonts w:cs="Arial"/>
          <w:b/>
          <w:sz w:val="20"/>
          <w:szCs w:val="20"/>
        </w:rPr>
      </w:pPr>
      <w:r>
        <w:rPr>
          <w:rFonts w:cs="Arial"/>
          <w:sz w:val="20"/>
          <w:szCs w:val="20"/>
        </w:rPr>
        <w:t>CNPJ: ..........</w:t>
      </w:r>
    </w:p>
    <w:p w14:paraId="28E16D67">
      <w:pPr>
        <w:spacing w:before="0" w:after="0"/>
        <w:rPr>
          <w:rFonts w:cs="Arial"/>
          <w:b/>
          <w:sz w:val="20"/>
          <w:szCs w:val="20"/>
        </w:rPr>
      </w:pPr>
      <w:r>
        <w:rPr>
          <w:rFonts w:cs="Arial"/>
          <w:sz w:val="20"/>
          <w:szCs w:val="20"/>
        </w:rPr>
        <w:t>Endereço: ..........</w:t>
      </w:r>
    </w:p>
    <w:p w14:paraId="0FBE3197">
      <w:pPr>
        <w:spacing w:before="0" w:after="0"/>
        <w:rPr>
          <w:b/>
          <w:sz w:val="20"/>
          <w:szCs w:val="20"/>
        </w:rPr>
      </w:pPr>
      <w:r>
        <w:rPr>
          <w:sz w:val="20"/>
          <w:szCs w:val="20"/>
        </w:rPr>
        <w:t>E-mail: ..........</w:t>
      </w:r>
    </w:p>
    <w:p w14:paraId="4052574A">
      <w:pPr>
        <w:spacing w:before="0" w:after="0"/>
        <w:rPr>
          <w:b/>
          <w:sz w:val="20"/>
          <w:szCs w:val="20"/>
        </w:rPr>
      </w:pPr>
      <w:r>
        <w:rPr>
          <w:sz w:val="20"/>
          <w:szCs w:val="20"/>
        </w:rPr>
        <w:t>Telefone: ..........</w:t>
      </w:r>
    </w:p>
    <w:p w14:paraId="7595907B">
      <w:pPr>
        <w:pStyle w:val="117"/>
        <w:numPr>
          <w:ilvl w:val="0"/>
          <w:numId w:val="17"/>
        </w:numPr>
        <w:rPr>
          <w:sz w:val="20"/>
          <w:szCs w:val="20"/>
        </w:rPr>
      </w:pPr>
      <w:r>
        <w:rPr>
          <w:sz w:val="20"/>
          <w:szCs w:val="20"/>
        </w:rPr>
        <w:t>RESPONSÁVEL PELA PROPOSTA</w:t>
      </w:r>
    </w:p>
    <w:p w14:paraId="46524BB6">
      <w:pPr>
        <w:spacing w:before="0" w:after="0"/>
        <w:rPr>
          <w:b/>
          <w:sz w:val="20"/>
          <w:szCs w:val="20"/>
        </w:rPr>
      </w:pPr>
      <w:r>
        <w:rPr>
          <w:sz w:val="20"/>
          <w:szCs w:val="20"/>
        </w:rPr>
        <w:t>Nome: ..........</w:t>
      </w:r>
    </w:p>
    <w:p w14:paraId="18D3F8B8">
      <w:pPr>
        <w:spacing w:before="0" w:after="0"/>
        <w:rPr>
          <w:sz w:val="20"/>
          <w:szCs w:val="20"/>
        </w:rPr>
      </w:pPr>
      <w:r>
        <w:rPr>
          <w:sz w:val="20"/>
          <w:szCs w:val="20"/>
        </w:rPr>
        <w:t>CPF: ..........</w:t>
      </w:r>
    </w:p>
    <w:p w14:paraId="08865CD1">
      <w:pPr>
        <w:tabs>
          <w:tab w:val="left" w:pos="8364"/>
        </w:tabs>
        <w:spacing w:before="0" w:line="240" w:lineRule="auto"/>
        <w:ind w:right="1"/>
        <w:jc w:val="both"/>
        <w:rPr>
          <w:b/>
          <w:sz w:val="20"/>
          <w:szCs w:val="20"/>
        </w:rPr>
      </w:pPr>
      <w:r>
        <w:rPr>
          <w:sz w:val="20"/>
          <w:szCs w:val="20"/>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098832CE">
      <w:pPr>
        <w:spacing w:before="120" w:after="0"/>
        <w:rPr>
          <w:rFonts w:hint="default" w:ascii="Arial" w:hAnsi="Arial" w:cs="Arial"/>
          <w:color w:val="000000" w:themeColor="text1"/>
          <w:sz w:val="20"/>
          <w:szCs w:val="20"/>
          <w14:textFill>
            <w14:solidFill>
              <w14:schemeClr w14:val="tx1"/>
            </w14:solidFill>
          </w14:textFill>
        </w:rPr>
      </w:pPr>
      <w:sdt>
        <w:sdtPr>
          <w:rPr>
            <w:rFonts w:hint="default" w:ascii="Arial" w:hAnsi="Arial" w:eastAsia="MS Gothic" w:cs="Arial"/>
            <w:b/>
            <w:bCs/>
            <w:color w:val="000000" w:themeColor="text1"/>
            <w:sz w:val="20"/>
            <w:szCs w:val="20"/>
            <w14:textFill>
              <w14:solidFill>
                <w14:schemeClr w14:val="tx1"/>
              </w14:solidFill>
            </w14:textFill>
          </w:rPr>
          <w:id w:val="1766196756"/>
          <w14:checkbox>
            <w14:checked w14:val="0"/>
            <w14:checkedState w14:val="2612" w14:font="MS Gothic"/>
            <w14:uncheckedState w14:val="2610" w14:font="MS Gothic"/>
          </w14:checkbox>
        </w:sdtPr>
        <w:sdtEndPr>
          <w:rPr>
            <w:rFonts w:hint="default" w:ascii="Arial" w:hAnsi="Arial" w:eastAsia="MS Gothic" w:cs="Arial"/>
            <w:b/>
            <w:bCs/>
            <w:color w:val="000000" w:themeColor="text1"/>
            <w:sz w:val="20"/>
            <w:szCs w:val="20"/>
            <w14:textFill>
              <w14:solidFill>
                <w14:schemeClr w14:val="tx1"/>
              </w14:solidFill>
            </w14:textFill>
          </w:rPr>
        </w:sdtEndPr>
        <w:sdtContent>
          <w:r>
            <w:rPr>
              <w:rFonts w:hint="default" w:ascii="Arial" w:hAnsi="Arial" w:eastAsia="MS Gothic" w:cs="Arial"/>
              <w:b/>
              <w:bCs/>
              <w:color w:val="000000" w:themeColor="text1"/>
              <w:kern w:val="0"/>
              <w:sz w:val="20"/>
              <w:szCs w:val="20"/>
              <w:lang w:val="pt-BR" w:eastAsia="pt-BR" w:bidi="ar-SA"/>
              <w14:textFill>
                <w14:solidFill>
                  <w14:schemeClr w14:val="tx1"/>
                </w14:solidFill>
              </w14:textFill>
            </w:rPr>
            <w:t>☐</w:t>
          </w:r>
        </w:sdtContent>
      </w:sdt>
      <w:r>
        <w:rPr>
          <w:rFonts w:hint="default" w:ascii="Arial" w:hAnsi="Arial" w:cs="Arial"/>
          <w:b/>
          <w:bCs/>
          <w:color w:val="000000" w:themeColor="text1"/>
          <w:sz w:val="20"/>
          <w:szCs w:val="20"/>
          <w14:textFill>
            <w14:solidFill>
              <w14:schemeClr w14:val="tx1"/>
            </w14:solidFill>
          </w14:textFill>
        </w:rPr>
        <w:t xml:space="preserve"> </w:t>
      </w:r>
      <w:r>
        <w:rPr>
          <w:rFonts w:hint="default" w:ascii="Arial" w:hAnsi="Arial" w:cs="Arial"/>
          <w:color w:val="000000" w:themeColor="text1"/>
          <w:sz w:val="20"/>
          <w:szCs w:val="20"/>
          <w14:textFill>
            <w14:solidFill>
              <w14:schemeClr w14:val="tx1"/>
            </w14:solidFill>
          </w14:textFill>
        </w:rPr>
        <w:t xml:space="preserve">Sim </w:t>
      </w:r>
      <w:r>
        <w:rPr>
          <w:rFonts w:hint="default" w:ascii="Arial" w:hAnsi="Arial" w:cs="Arial"/>
          <w:b/>
          <w:bCs/>
          <w:color w:val="000000" w:themeColor="text1"/>
          <w:sz w:val="20"/>
          <w:szCs w:val="20"/>
          <w14:textFill>
            <w14:solidFill>
              <w14:schemeClr w14:val="tx1"/>
            </w14:solidFill>
          </w14:textFill>
        </w:rPr>
        <w:t xml:space="preserve">     </w:t>
      </w:r>
      <w:sdt>
        <w:sdtPr>
          <w:rPr>
            <w:rFonts w:hint="default" w:ascii="Arial" w:hAnsi="Arial" w:cs="Arial"/>
            <w:b/>
            <w:bCs/>
            <w:color w:val="000000" w:themeColor="text1"/>
            <w:sz w:val="20"/>
            <w:szCs w:val="20"/>
            <w14:textFill>
              <w14:solidFill>
                <w14:schemeClr w14:val="tx1"/>
              </w14:solidFill>
            </w14:textFill>
          </w:rPr>
          <w:id w:val="-1373070078"/>
          <w14:checkbox>
            <w14:checked w14:val="0"/>
            <w14:checkedState w14:val="2612" w14:font="MS Gothic"/>
            <w14:uncheckedState w14:val="2610" w14:font="MS Gothic"/>
          </w14:checkbox>
        </w:sdtPr>
        <w:sdtEndPr>
          <w:rPr>
            <w:rFonts w:hint="default" w:ascii="Arial" w:hAnsi="Arial" w:cs="Arial"/>
            <w:b/>
            <w:bCs/>
            <w:color w:val="000000" w:themeColor="text1"/>
            <w:sz w:val="20"/>
            <w:szCs w:val="20"/>
            <w14:textFill>
              <w14:solidFill>
                <w14:schemeClr w14:val="tx1"/>
              </w14:solidFill>
            </w14:textFill>
          </w:rPr>
        </w:sdtEndPr>
        <w:sdtContent>
          <w:r>
            <w:rPr>
              <w:rFonts w:hint="default" w:ascii="Arial" w:hAnsi="Arial" w:eastAsia="MS Gothic" w:cs="Arial"/>
              <w:b/>
              <w:bCs/>
              <w:color w:val="000000" w:themeColor="text1"/>
              <w:kern w:val="0"/>
              <w:sz w:val="20"/>
              <w:szCs w:val="20"/>
              <w:lang w:val="pt-BR" w:eastAsia="pt-BR" w:bidi="ar-SA"/>
              <w14:textFill>
                <w14:solidFill>
                  <w14:schemeClr w14:val="tx1"/>
                </w14:solidFill>
              </w14:textFill>
            </w:rPr>
            <w:t>☐</w:t>
          </w:r>
        </w:sdtContent>
      </w:sdt>
      <w:r>
        <w:rPr>
          <w:rFonts w:hint="default" w:ascii="Arial" w:hAnsi="Arial" w:cs="Arial"/>
          <w:color w:val="000000" w:themeColor="text1"/>
          <w:sz w:val="20"/>
          <w:szCs w:val="20"/>
          <w14:textFill>
            <w14:solidFill>
              <w14:schemeClr w14:val="tx1"/>
            </w14:solidFill>
          </w14:textFill>
        </w:rPr>
        <w:t xml:space="preserve"> Não </w:t>
      </w:r>
    </w:p>
    <w:p w14:paraId="7E61154E">
      <w:pPr>
        <w:spacing w:before="120" w:after="0"/>
        <w:jc w:val="both"/>
        <w:rPr>
          <w:rFonts w:hint="default"/>
          <w:sz w:val="20"/>
          <w:szCs w:val="20"/>
          <w:lang w:val="pt-BR"/>
        </w:rPr>
      </w:pPr>
      <w:r>
        <w:rPr>
          <w:rFonts w:eastAsia="Calibri" w:cs="Times New Roman"/>
          <w:b w:val="0"/>
          <w:color w:val="auto"/>
          <w:sz w:val="20"/>
          <w:szCs w:val="20"/>
          <w:lang w:eastAsia="en-US"/>
        </w:rPr>
        <w:t>Declaramos, nos termos do art. 4º da lei nº 14.133/21, que no ano-calendário de realização da licitação, ainda não celebramos contratos com a Administração Pública cujos valores somados extrapolem a receita bruta máxima admitida para fins de enquadramento como empresa de pequeno porte</w:t>
      </w:r>
      <w:r>
        <w:rPr>
          <w:rFonts w:hint="default" w:eastAsia="Calibri" w:cs="Times New Roman"/>
          <w:b w:val="0"/>
          <w:color w:val="auto"/>
          <w:sz w:val="20"/>
          <w:szCs w:val="20"/>
          <w:lang w:val="pt-BR" w:eastAsia="en-US"/>
        </w:rPr>
        <w:t>.</w:t>
      </w:r>
    </w:p>
    <w:p w14:paraId="16C53772">
      <w:pPr>
        <w:spacing w:before="120" w:after="0"/>
        <w:rPr>
          <w:sz w:val="20"/>
          <w:szCs w:val="20"/>
        </w:rPr>
      </w:pPr>
      <w:sdt>
        <w:sdtPr>
          <w:rPr>
            <w:rFonts w:hint="default" w:ascii="Arial" w:hAnsi="Arial" w:eastAsia="MS Gothic" w:cs="Arial"/>
            <w:b/>
            <w:bCs/>
            <w:color w:val="000000" w:themeColor="text1"/>
            <w:sz w:val="20"/>
            <w:szCs w:val="20"/>
            <w14:textFill>
              <w14:solidFill>
                <w14:schemeClr w14:val="tx1"/>
              </w14:solidFill>
            </w14:textFill>
          </w:rPr>
          <w:id w:val="147458117"/>
          <w14:checkbox>
            <w14:checked w14:val="0"/>
            <w14:checkedState w14:val="2612" w14:font="MS Gothic"/>
            <w14:uncheckedState w14:val="2610" w14:font="MS Gothic"/>
          </w14:checkbox>
        </w:sdtPr>
        <w:sdtEndPr>
          <w:rPr>
            <w:rFonts w:hint="default" w:ascii="Arial" w:hAnsi="Arial" w:eastAsia="MS Gothic" w:cs="Arial"/>
            <w:b/>
            <w:bCs/>
            <w:color w:val="000000" w:themeColor="text1"/>
            <w:sz w:val="20"/>
            <w:szCs w:val="20"/>
            <w14:textFill>
              <w14:solidFill>
                <w14:schemeClr w14:val="tx1"/>
              </w14:solidFill>
            </w14:textFill>
          </w:rPr>
        </w:sdtEndPr>
        <w:sdtContent>
          <w:r>
            <w:rPr>
              <w:rFonts w:hint="default" w:ascii="Arial" w:hAnsi="Arial" w:eastAsia="MS Gothic" w:cs="Arial"/>
              <w:b/>
              <w:bCs/>
              <w:color w:val="000000" w:themeColor="text1"/>
              <w:sz w:val="20"/>
              <w:szCs w:val="20"/>
              <w:lang w:val="pt-BR" w:eastAsia="pt-BR" w:bidi="ar-SA"/>
              <w14:textFill>
                <w14:solidFill>
                  <w14:schemeClr w14:val="tx1"/>
                </w14:solidFill>
              </w14:textFill>
            </w:rPr>
            <w:t>☐</w:t>
          </w:r>
        </w:sdtContent>
      </w:sdt>
      <w:r>
        <w:rPr>
          <w:rFonts w:hint="default" w:ascii="Arial" w:hAnsi="Arial" w:cs="Arial"/>
          <w:color w:val="000000" w:themeColor="text1"/>
          <w:sz w:val="20"/>
          <w:szCs w:val="20"/>
          <w14:textFill>
            <w14:solidFill>
              <w14:schemeClr w14:val="tx1"/>
            </w14:solidFill>
          </w14:textFill>
        </w:rPr>
        <w:t xml:space="preserve"> Sim   </w:t>
      </w:r>
      <w:r>
        <w:rPr>
          <w:rFonts w:hint="default" w:ascii="Arial" w:hAnsi="Arial" w:cs="Arial"/>
          <w:b/>
          <w:bCs/>
          <w:color w:val="000000" w:themeColor="text1"/>
          <w:sz w:val="20"/>
          <w:szCs w:val="20"/>
          <w14:textFill>
            <w14:solidFill>
              <w14:schemeClr w14:val="tx1"/>
            </w14:solidFill>
          </w14:textFill>
        </w:rPr>
        <w:t xml:space="preserve">   </w:t>
      </w:r>
      <w:sdt>
        <w:sdtPr>
          <w:rPr>
            <w:rFonts w:hint="default" w:ascii="Arial" w:hAnsi="Arial" w:cs="Arial"/>
            <w:b/>
            <w:bCs/>
            <w:color w:val="000000" w:themeColor="text1"/>
            <w:sz w:val="20"/>
            <w:szCs w:val="20"/>
            <w14:textFill>
              <w14:solidFill>
                <w14:schemeClr w14:val="tx1"/>
              </w14:solidFill>
            </w14:textFill>
          </w:rPr>
          <w:id w:val="147478167"/>
          <w14:checkbox>
            <w14:checked w14:val="0"/>
            <w14:checkedState w14:val="2612" w14:font="MS Gothic"/>
            <w14:uncheckedState w14:val="2610" w14:font="MS Gothic"/>
          </w14:checkbox>
        </w:sdtPr>
        <w:sdtEndPr>
          <w:rPr>
            <w:rFonts w:hint="default" w:ascii="Arial" w:hAnsi="Arial" w:cs="Arial"/>
            <w:b/>
            <w:bCs/>
            <w:color w:val="000000" w:themeColor="text1"/>
            <w:sz w:val="20"/>
            <w:szCs w:val="20"/>
            <w14:textFill>
              <w14:solidFill>
                <w14:schemeClr w14:val="tx1"/>
              </w14:solidFill>
            </w14:textFill>
          </w:rPr>
        </w:sdtEndPr>
        <w:sdtContent>
          <w:r>
            <w:rPr>
              <w:rFonts w:hint="default" w:ascii="Arial" w:hAnsi="Arial" w:eastAsia="MS Gothic" w:cs="Arial"/>
              <w:b/>
              <w:bCs/>
              <w:color w:val="000000" w:themeColor="text1"/>
              <w:kern w:val="0"/>
              <w:sz w:val="20"/>
              <w:szCs w:val="20"/>
              <w:lang w:val="pt-BR" w:eastAsia="pt-BR" w:bidi="ar-SA"/>
              <w14:textFill>
                <w14:solidFill>
                  <w14:schemeClr w14:val="tx1"/>
                </w14:solidFill>
              </w14:textFill>
            </w:rPr>
            <w:t>☐</w:t>
          </w:r>
        </w:sdtContent>
      </w:sdt>
      <w:r>
        <w:rPr>
          <w:rFonts w:hint="default" w:ascii="Arial" w:hAnsi="Arial" w:cs="Arial"/>
          <w:b/>
          <w:bCs/>
          <w:color w:val="000000" w:themeColor="text1"/>
          <w:sz w:val="20"/>
          <w:szCs w:val="20"/>
          <w14:textFill>
            <w14:solidFill>
              <w14:schemeClr w14:val="tx1"/>
            </w14:solidFill>
          </w14:textFill>
        </w:rPr>
        <w:t xml:space="preserve"> </w:t>
      </w:r>
      <w:r>
        <w:rPr>
          <w:rFonts w:hint="default" w:ascii="Arial" w:hAnsi="Arial" w:cs="Arial"/>
          <w:color w:val="000000" w:themeColor="text1"/>
          <w:sz w:val="20"/>
          <w:szCs w:val="20"/>
          <w14:textFill>
            <w14:solidFill>
              <w14:schemeClr w14:val="tx1"/>
            </w14:solidFill>
          </w14:textFill>
        </w:rPr>
        <w:t xml:space="preserve">Não </w:t>
      </w:r>
    </w:p>
    <w:p w14:paraId="5F8E87E2">
      <w:pPr>
        <w:pStyle w:val="117"/>
        <w:numPr>
          <w:ilvl w:val="0"/>
          <w:numId w:val="17"/>
        </w:numPr>
        <w:rPr>
          <w:sz w:val="20"/>
          <w:szCs w:val="20"/>
        </w:rPr>
      </w:pPr>
      <w:r>
        <w:rPr>
          <w:sz w:val="20"/>
          <w:szCs w:val="20"/>
        </w:rPr>
        <w:t>CONDIÇÕES COMERCIAIS</w:t>
      </w:r>
      <w:r>
        <w:rPr>
          <w:b w:val="0"/>
          <w:bCs/>
          <w:sz w:val="20"/>
          <w:szCs w:val="20"/>
        </w:rPr>
        <w:t xml:space="preserve"> </w:t>
      </w:r>
    </w:p>
    <w:tbl>
      <w:tblPr>
        <w:tblStyle w:val="27"/>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3308"/>
        <w:gridCol w:w="1188"/>
        <w:gridCol w:w="1166"/>
        <w:gridCol w:w="1142"/>
        <w:gridCol w:w="1235"/>
        <w:gridCol w:w="1154"/>
      </w:tblGrid>
      <w:tr w14:paraId="4CB1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restart"/>
            <w:vAlign w:val="center"/>
          </w:tcPr>
          <w:p w14:paraId="41507FEA">
            <w:pPr>
              <w:keepNext/>
              <w:widowControl/>
              <w:suppressAutoHyphens/>
              <w:spacing w:before="40" w:after="40" w:line="240" w:lineRule="auto"/>
              <w:jc w:val="center"/>
              <w:rPr>
                <w:rFonts w:eastAsiaTheme="minorHAnsi"/>
                <w:iCs/>
                <w:sz w:val="20"/>
                <w:szCs w:val="20"/>
              </w:rPr>
            </w:pPr>
            <w:r>
              <w:rPr>
                <w:rFonts w:eastAsiaTheme="minorHAnsi"/>
                <w:iCs/>
                <w:kern w:val="0"/>
                <w:sz w:val="20"/>
                <w:szCs w:val="20"/>
              </w:rPr>
              <w:t>Item</w:t>
            </w:r>
          </w:p>
        </w:tc>
        <w:tc>
          <w:tcPr>
            <w:tcW w:w="3308" w:type="dxa"/>
            <w:vMerge w:val="restart"/>
            <w:vAlign w:val="center"/>
          </w:tcPr>
          <w:p w14:paraId="4CB7C65A">
            <w:pPr>
              <w:keepNext/>
              <w:widowControl/>
              <w:suppressAutoHyphens/>
              <w:spacing w:before="40" w:after="40" w:line="240" w:lineRule="auto"/>
              <w:jc w:val="center"/>
              <w:rPr>
                <w:rFonts w:eastAsiaTheme="minorHAnsi"/>
                <w:iCs/>
                <w:sz w:val="20"/>
                <w:szCs w:val="20"/>
              </w:rPr>
            </w:pPr>
            <w:r>
              <w:rPr>
                <w:rFonts w:eastAsiaTheme="minorHAnsi"/>
                <w:iCs/>
                <w:kern w:val="0"/>
                <w:sz w:val="20"/>
                <w:szCs w:val="20"/>
              </w:rPr>
              <w:t>Descrição</w:t>
            </w:r>
          </w:p>
        </w:tc>
        <w:tc>
          <w:tcPr>
            <w:tcW w:w="1188" w:type="dxa"/>
            <w:vMerge w:val="restart"/>
            <w:vAlign w:val="center"/>
          </w:tcPr>
          <w:p w14:paraId="3B13CBAE">
            <w:pPr>
              <w:keepNext/>
              <w:widowControl/>
              <w:suppressAutoHyphens/>
              <w:spacing w:before="40" w:after="40" w:line="240" w:lineRule="auto"/>
              <w:jc w:val="center"/>
              <w:rPr>
                <w:rFonts w:eastAsiaTheme="minorHAnsi"/>
                <w:iCs/>
                <w:sz w:val="20"/>
                <w:szCs w:val="20"/>
              </w:rPr>
            </w:pPr>
            <w:r>
              <w:rPr>
                <w:rFonts w:eastAsiaTheme="minorHAnsi"/>
                <w:iCs/>
                <w:kern w:val="0"/>
                <w:sz w:val="20"/>
                <w:szCs w:val="20"/>
              </w:rPr>
              <w:t>Unid.</w:t>
            </w:r>
          </w:p>
        </w:tc>
        <w:tc>
          <w:tcPr>
            <w:tcW w:w="1166" w:type="dxa"/>
            <w:vMerge w:val="restart"/>
            <w:vAlign w:val="center"/>
          </w:tcPr>
          <w:p w14:paraId="59611E76">
            <w:pPr>
              <w:keepNext/>
              <w:widowControl/>
              <w:suppressAutoHyphens/>
              <w:spacing w:before="40" w:after="40" w:line="240" w:lineRule="auto"/>
              <w:jc w:val="center"/>
              <w:rPr>
                <w:rFonts w:eastAsiaTheme="minorHAnsi"/>
                <w:iCs/>
                <w:kern w:val="0"/>
                <w:sz w:val="20"/>
                <w:szCs w:val="20"/>
              </w:rPr>
            </w:pPr>
            <w:r>
              <w:rPr>
                <w:rFonts w:eastAsiaTheme="minorHAnsi"/>
                <w:iCs/>
                <w:kern w:val="0"/>
                <w:sz w:val="20"/>
                <w:szCs w:val="20"/>
              </w:rPr>
              <w:t>Quant.</w:t>
            </w:r>
          </w:p>
        </w:tc>
        <w:tc>
          <w:tcPr>
            <w:tcW w:w="1142" w:type="dxa"/>
            <w:vMerge w:val="restart"/>
            <w:vAlign w:val="center"/>
          </w:tcPr>
          <w:p w14:paraId="562367CC">
            <w:pPr>
              <w:keepNext/>
              <w:widowControl/>
              <w:suppressAutoHyphens/>
              <w:spacing w:before="40" w:after="40" w:line="240" w:lineRule="auto"/>
              <w:jc w:val="center"/>
              <w:rPr>
                <w:rFonts w:hint="default" w:eastAsiaTheme="minorHAnsi"/>
                <w:iCs/>
                <w:sz w:val="20"/>
                <w:szCs w:val="20"/>
                <w:lang w:val="pt-BR"/>
              </w:rPr>
            </w:pPr>
            <w:r>
              <w:rPr>
                <w:rFonts w:hint="default" w:eastAsiaTheme="minorHAnsi"/>
                <w:iCs/>
                <w:sz w:val="20"/>
                <w:szCs w:val="20"/>
                <w:lang w:val="pt-BR"/>
              </w:rPr>
              <w:t>Marca</w:t>
            </w:r>
          </w:p>
        </w:tc>
        <w:tc>
          <w:tcPr>
            <w:tcW w:w="2389" w:type="dxa"/>
            <w:gridSpan w:val="2"/>
            <w:vAlign w:val="center"/>
          </w:tcPr>
          <w:p w14:paraId="4D974842">
            <w:pPr>
              <w:keepNext/>
              <w:widowControl/>
              <w:suppressAutoHyphens/>
              <w:spacing w:before="40" w:after="40" w:line="240" w:lineRule="auto"/>
              <w:jc w:val="center"/>
              <w:rPr>
                <w:rFonts w:eastAsiaTheme="minorHAnsi"/>
                <w:iCs/>
                <w:sz w:val="20"/>
                <w:szCs w:val="20"/>
              </w:rPr>
            </w:pPr>
            <w:r>
              <w:rPr>
                <w:rFonts w:eastAsiaTheme="minorHAnsi"/>
                <w:iCs/>
                <w:kern w:val="0"/>
                <w:sz w:val="20"/>
                <w:szCs w:val="20"/>
              </w:rPr>
              <w:t>Preço (R$)</w:t>
            </w:r>
          </w:p>
        </w:tc>
      </w:tr>
      <w:tr w14:paraId="3E447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continue"/>
            <w:vAlign w:val="center"/>
          </w:tcPr>
          <w:p w14:paraId="66A401E6">
            <w:pPr>
              <w:keepNext/>
              <w:widowControl/>
              <w:suppressAutoHyphens/>
              <w:spacing w:before="40" w:after="40" w:line="240" w:lineRule="auto"/>
              <w:jc w:val="center"/>
              <w:rPr>
                <w:rFonts w:eastAsiaTheme="minorHAnsi"/>
                <w:iCs/>
                <w:sz w:val="20"/>
                <w:szCs w:val="20"/>
              </w:rPr>
            </w:pPr>
          </w:p>
        </w:tc>
        <w:tc>
          <w:tcPr>
            <w:tcW w:w="3308" w:type="dxa"/>
            <w:vMerge w:val="continue"/>
            <w:vAlign w:val="center"/>
          </w:tcPr>
          <w:p w14:paraId="07C51AE9">
            <w:pPr>
              <w:keepNext/>
              <w:widowControl/>
              <w:suppressAutoHyphens/>
              <w:spacing w:before="40" w:after="40" w:line="240" w:lineRule="auto"/>
              <w:jc w:val="center"/>
              <w:rPr>
                <w:rFonts w:eastAsiaTheme="minorHAnsi"/>
                <w:iCs/>
                <w:sz w:val="20"/>
                <w:szCs w:val="20"/>
              </w:rPr>
            </w:pPr>
          </w:p>
        </w:tc>
        <w:tc>
          <w:tcPr>
            <w:tcW w:w="1188" w:type="dxa"/>
            <w:vMerge w:val="continue"/>
            <w:vAlign w:val="center"/>
          </w:tcPr>
          <w:p w14:paraId="2D20AAB2">
            <w:pPr>
              <w:keepNext/>
              <w:widowControl/>
              <w:suppressAutoHyphens/>
              <w:spacing w:before="40" w:after="40" w:line="240" w:lineRule="auto"/>
              <w:jc w:val="center"/>
              <w:rPr>
                <w:rFonts w:eastAsiaTheme="minorHAnsi"/>
                <w:iCs/>
                <w:sz w:val="20"/>
                <w:szCs w:val="20"/>
              </w:rPr>
            </w:pPr>
          </w:p>
        </w:tc>
        <w:tc>
          <w:tcPr>
            <w:tcW w:w="1166" w:type="dxa"/>
            <w:vMerge w:val="continue"/>
            <w:vAlign w:val="center"/>
          </w:tcPr>
          <w:p w14:paraId="62821F6F">
            <w:pPr>
              <w:keepNext/>
              <w:widowControl/>
              <w:suppressAutoHyphens/>
              <w:spacing w:before="40" w:after="40" w:line="240" w:lineRule="auto"/>
              <w:jc w:val="center"/>
              <w:rPr>
                <w:rFonts w:eastAsiaTheme="minorHAnsi"/>
                <w:iCs/>
                <w:sz w:val="20"/>
                <w:szCs w:val="20"/>
              </w:rPr>
            </w:pPr>
          </w:p>
        </w:tc>
        <w:tc>
          <w:tcPr>
            <w:tcW w:w="1142" w:type="dxa"/>
            <w:vMerge w:val="continue"/>
            <w:vAlign w:val="center"/>
          </w:tcPr>
          <w:p w14:paraId="040EE979">
            <w:pPr>
              <w:keepNext/>
              <w:widowControl/>
              <w:suppressAutoHyphens/>
              <w:spacing w:before="40" w:after="40" w:line="240" w:lineRule="auto"/>
              <w:jc w:val="center"/>
              <w:rPr>
                <w:rFonts w:eastAsiaTheme="minorHAnsi"/>
                <w:iCs/>
                <w:sz w:val="20"/>
                <w:szCs w:val="20"/>
              </w:rPr>
            </w:pPr>
          </w:p>
        </w:tc>
        <w:tc>
          <w:tcPr>
            <w:tcW w:w="1235" w:type="dxa"/>
            <w:vAlign w:val="center"/>
          </w:tcPr>
          <w:p w14:paraId="78136D42">
            <w:pPr>
              <w:keepNext/>
              <w:widowControl/>
              <w:suppressAutoHyphens/>
              <w:spacing w:before="40" w:after="40" w:line="240" w:lineRule="auto"/>
              <w:jc w:val="center"/>
              <w:rPr>
                <w:rFonts w:eastAsiaTheme="minorHAnsi"/>
                <w:iCs/>
                <w:sz w:val="20"/>
                <w:szCs w:val="20"/>
              </w:rPr>
            </w:pPr>
            <w:r>
              <w:rPr>
                <w:rFonts w:eastAsiaTheme="minorHAnsi"/>
                <w:iCs/>
                <w:kern w:val="0"/>
                <w:sz w:val="20"/>
                <w:szCs w:val="20"/>
              </w:rPr>
              <w:t>Unitário</w:t>
            </w:r>
          </w:p>
        </w:tc>
        <w:tc>
          <w:tcPr>
            <w:tcW w:w="1154" w:type="dxa"/>
            <w:vAlign w:val="center"/>
          </w:tcPr>
          <w:p w14:paraId="18BC3881">
            <w:pPr>
              <w:keepNext/>
              <w:widowControl/>
              <w:suppressAutoHyphens/>
              <w:spacing w:before="40" w:after="40" w:line="240" w:lineRule="auto"/>
              <w:jc w:val="center"/>
              <w:rPr>
                <w:rFonts w:eastAsiaTheme="minorHAnsi"/>
                <w:iCs/>
                <w:sz w:val="20"/>
                <w:szCs w:val="20"/>
              </w:rPr>
            </w:pPr>
            <w:r>
              <w:rPr>
                <w:rFonts w:eastAsiaTheme="minorHAnsi"/>
                <w:iCs/>
                <w:kern w:val="0"/>
                <w:sz w:val="20"/>
                <w:szCs w:val="20"/>
              </w:rPr>
              <w:t>Total</w:t>
            </w:r>
          </w:p>
        </w:tc>
      </w:tr>
      <w:tr w14:paraId="6727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center"/>
          </w:tcPr>
          <w:p w14:paraId="63D487BF">
            <w:pPr>
              <w:keepNext/>
              <w:widowControl/>
              <w:suppressAutoHyphens/>
              <w:spacing w:before="40" w:after="40" w:line="240" w:lineRule="auto"/>
              <w:jc w:val="center"/>
              <w:rPr>
                <w:rFonts w:eastAsiaTheme="minorHAnsi"/>
                <w:i/>
                <w:color w:val="808080" w:themeColor="background1" w:themeShade="80"/>
                <w:sz w:val="20"/>
                <w:szCs w:val="20"/>
              </w:rPr>
            </w:pPr>
          </w:p>
        </w:tc>
        <w:tc>
          <w:tcPr>
            <w:tcW w:w="3308" w:type="dxa"/>
            <w:vAlign w:val="center"/>
          </w:tcPr>
          <w:p w14:paraId="5CE2BC61">
            <w:pPr>
              <w:keepNext/>
              <w:widowControl/>
              <w:suppressAutoHyphens/>
              <w:spacing w:before="40" w:after="40" w:line="240" w:lineRule="auto"/>
              <w:rPr>
                <w:rFonts w:eastAsiaTheme="minorHAnsi"/>
                <w:i/>
                <w:color w:val="808080" w:themeColor="background1" w:themeShade="80"/>
                <w:sz w:val="20"/>
                <w:szCs w:val="20"/>
              </w:rPr>
            </w:pPr>
          </w:p>
        </w:tc>
        <w:tc>
          <w:tcPr>
            <w:tcW w:w="1188" w:type="dxa"/>
            <w:vAlign w:val="center"/>
          </w:tcPr>
          <w:p w14:paraId="51AC1629">
            <w:pPr>
              <w:keepNext/>
              <w:widowControl/>
              <w:suppressAutoHyphens/>
              <w:spacing w:before="40" w:after="40" w:line="240" w:lineRule="auto"/>
              <w:jc w:val="center"/>
              <w:rPr>
                <w:rFonts w:eastAsiaTheme="minorHAnsi"/>
                <w:i/>
                <w:color w:val="808080" w:themeColor="background1" w:themeShade="80"/>
                <w:sz w:val="20"/>
                <w:szCs w:val="20"/>
              </w:rPr>
            </w:pPr>
          </w:p>
        </w:tc>
        <w:tc>
          <w:tcPr>
            <w:tcW w:w="1166" w:type="dxa"/>
            <w:vAlign w:val="center"/>
          </w:tcPr>
          <w:p w14:paraId="607FC2A1">
            <w:pPr>
              <w:keepNext/>
              <w:widowControl/>
              <w:suppressAutoHyphens/>
              <w:spacing w:before="40" w:after="40" w:line="240" w:lineRule="auto"/>
              <w:jc w:val="center"/>
              <w:rPr>
                <w:rFonts w:eastAsiaTheme="minorHAnsi"/>
                <w:i/>
                <w:color w:val="808080" w:themeColor="background1" w:themeShade="80"/>
                <w:sz w:val="20"/>
                <w:szCs w:val="20"/>
              </w:rPr>
            </w:pPr>
          </w:p>
        </w:tc>
        <w:tc>
          <w:tcPr>
            <w:tcW w:w="1142" w:type="dxa"/>
            <w:vAlign w:val="center"/>
          </w:tcPr>
          <w:p w14:paraId="5FA5299D">
            <w:pPr>
              <w:keepNext/>
              <w:widowControl/>
              <w:suppressAutoHyphens/>
              <w:spacing w:before="40" w:after="40" w:line="240" w:lineRule="auto"/>
              <w:jc w:val="center"/>
              <w:rPr>
                <w:rFonts w:eastAsiaTheme="minorHAnsi"/>
                <w:i/>
                <w:color w:val="808080" w:themeColor="background1" w:themeShade="80"/>
                <w:sz w:val="20"/>
                <w:szCs w:val="20"/>
              </w:rPr>
            </w:pPr>
          </w:p>
        </w:tc>
        <w:tc>
          <w:tcPr>
            <w:tcW w:w="1235" w:type="dxa"/>
            <w:vAlign w:val="center"/>
          </w:tcPr>
          <w:p w14:paraId="0A3396B9">
            <w:pPr>
              <w:keepNext/>
              <w:widowControl/>
              <w:suppressAutoHyphens/>
              <w:spacing w:before="40" w:after="40" w:line="240" w:lineRule="auto"/>
              <w:jc w:val="center"/>
              <w:rPr>
                <w:rFonts w:eastAsiaTheme="minorHAnsi"/>
                <w:i/>
                <w:color w:val="808080" w:themeColor="background1" w:themeShade="80"/>
                <w:sz w:val="20"/>
                <w:szCs w:val="20"/>
              </w:rPr>
            </w:pPr>
          </w:p>
        </w:tc>
        <w:tc>
          <w:tcPr>
            <w:tcW w:w="1154" w:type="dxa"/>
            <w:vAlign w:val="center"/>
          </w:tcPr>
          <w:p w14:paraId="5D88113B">
            <w:pPr>
              <w:keepNext/>
              <w:widowControl/>
              <w:suppressAutoHyphens/>
              <w:spacing w:before="40" w:after="40" w:line="240" w:lineRule="auto"/>
              <w:jc w:val="center"/>
              <w:rPr>
                <w:rFonts w:eastAsiaTheme="minorHAnsi"/>
                <w:i/>
                <w:color w:val="808080" w:themeColor="background1" w:themeShade="80"/>
                <w:sz w:val="20"/>
                <w:szCs w:val="20"/>
              </w:rPr>
            </w:pPr>
          </w:p>
        </w:tc>
      </w:tr>
      <w:tr w14:paraId="27371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center"/>
          </w:tcPr>
          <w:p w14:paraId="683EBB9D">
            <w:pPr>
              <w:keepNext/>
              <w:widowControl/>
              <w:suppressAutoHyphens/>
              <w:spacing w:before="40" w:after="40" w:line="240" w:lineRule="auto"/>
              <w:jc w:val="center"/>
              <w:rPr>
                <w:rFonts w:eastAsiaTheme="minorHAnsi"/>
                <w:i/>
                <w:color w:val="808080" w:themeColor="background1" w:themeShade="80"/>
                <w:sz w:val="20"/>
                <w:szCs w:val="20"/>
              </w:rPr>
            </w:pPr>
          </w:p>
        </w:tc>
        <w:tc>
          <w:tcPr>
            <w:tcW w:w="3308" w:type="dxa"/>
            <w:vAlign w:val="center"/>
          </w:tcPr>
          <w:p w14:paraId="164E54A5">
            <w:pPr>
              <w:keepNext/>
              <w:widowControl/>
              <w:suppressAutoHyphens/>
              <w:spacing w:before="40" w:after="40" w:line="240" w:lineRule="auto"/>
              <w:rPr>
                <w:rFonts w:eastAsiaTheme="minorHAnsi"/>
                <w:i/>
                <w:color w:val="808080" w:themeColor="background1" w:themeShade="80"/>
                <w:sz w:val="20"/>
                <w:szCs w:val="20"/>
              </w:rPr>
            </w:pPr>
          </w:p>
        </w:tc>
        <w:tc>
          <w:tcPr>
            <w:tcW w:w="1188" w:type="dxa"/>
            <w:vAlign w:val="center"/>
          </w:tcPr>
          <w:p w14:paraId="0335038E">
            <w:pPr>
              <w:keepNext/>
              <w:widowControl/>
              <w:suppressAutoHyphens/>
              <w:spacing w:before="40" w:after="40" w:line="240" w:lineRule="auto"/>
              <w:jc w:val="center"/>
              <w:rPr>
                <w:rFonts w:eastAsiaTheme="minorHAnsi"/>
                <w:i/>
                <w:color w:val="808080" w:themeColor="background1" w:themeShade="80"/>
                <w:sz w:val="20"/>
                <w:szCs w:val="20"/>
              </w:rPr>
            </w:pPr>
          </w:p>
        </w:tc>
        <w:tc>
          <w:tcPr>
            <w:tcW w:w="1166" w:type="dxa"/>
            <w:vAlign w:val="center"/>
          </w:tcPr>
          <w:p w14:paraId="4E2D1048">
            <w:pPr>
              <w:keepNext/>
              <w:widowControl/>
              <w:suppressAutoHyphens/>
              <w:spacing w:before="40" w:after="40" w:line="240" w:lineRule="auto"/>
              <w:jc w:val="center"/>
              <w:rPr>
                <w:rFonts w:eastAsiaTheme="minorHAnsi"/>
                <w:i/>
                <w:color w:val="808080" w:themeColor="background1" w:themeShade="80"/>
                <w:sz w:val="20"/>
                <w:szCs w:val="20"/>
              </w:rPr>
            </w:pPr>
          </w:p>
        </w:tc>
        <w:tc>
          <w:tcPr>
            <w:tcW w:w="1142" w:type="dxa"/>
            <w:vAlign w:val="center"/>
          </w:tcPr>
          <w:p w14:paraId="49A4D30F">
            <w:pPr>
              <w:keepNext/>
              <w:widowControl/>
              <w:suppressAutoHyphens/>
              <w:spacing w:before="40" w:after="40" w:line="240" w:lineRule="auto"/>
              <w:jc w:val="center"/>
              <w:rPr>
                <w:rFonts w:eastAsiaTheme="minorHAnsi"/>
                <w:i/>
                <w:color w:val="808080" w:themeColor="background1" w:themeShade="80"/>
                <w:sz w:val="20"/>
                <w:szCs w:val="20"/>
              </w:rPr>
            </w:pPr>
          </w:p>
        </w:tc>
        <w:tc>
          <w:tcPr>
            <w:tcW w:w="1235" w:type="dxa"/>
            <w:vAlign w:val="center"/>
          </w:tcPr>
          <w:p w14:paraId="013CA8C5">
            <w:pPr>
              <w:keepNext/>
              <w:widowControl/>
              <w:suppressAutoHyphens/>
              <w:spacing w:before="40" w:after="40" w:line="240" w:lineRule="auto"/>
              <w:jc w:val="center"/>
              <w:rPr>
                <w:rFonts w:eastAsiaTheme="minorHAnsi"/>
                <w:i/>
                <w:color w:val="808080" w:themeColor="background1" w:themeShade="80"/>
                <w:sz w:val="20"/>
                <w:szCs w:val="20"/>
              </w:rPr>
            </w:pPr>
          </w:p>
        </w:tc>
        <w:tc>
          <w:tcPr>
            <w:tcW w:w="1154" w:type="dxa"/>
            <w:vAlign w:val="center"/>
          </w:tcPr>
          <w:p w14:paraId="521F439E">
            <w:pPr>
              <w:keepNext/>
              <w:widowControl/>
              <w:suppressAutoHyphens/>
              <w:spacing w:before="40" w:after="40" w:line="240" w:lineRule="auto"/>
              <w:jc w:val="center"/>
              <w:rPr>
                <w:rFonts w:eastAsiaTheme="minorHAnsi"/>
                <w:i/>
                <w:color w:val="808080" w:themeColor="background1" w:themeShade="80"/>
                <w:sz w:val="20"/>
                <w:szCs w:val="20"/>
              </w:rPr>
            </w:pPr>
          </w:p>
        </w:tc>
      </w:tr>
      <w:tr w14:paraId="74237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gridSpan w:val="7"/>
            <w:vAlign w:val="center"/>
          </w:tcPr>
          <w:p w14:paraId="45156E22">
            <w:pPr>
              <w:widowControl/>
              <w:suppressAutoHyphens/>
              <w:spacing w:before="40" w:after="40" w:line="240" w:lineRule="auto"/>
              <w:jc w:val="center"/>
              <w:rPr>
                <w:rFonts w:eastAsiaTheme="minorHAnsi"/>
                <w:i/>
                <w:color w:val="808080" w:themeColor="background1" w:themeShade="80"/>
                <w:sz w:val="20"/>
                <w:szCs w:val="20"/>
              </w:rPr>
            </w:pPr>
            <w:r>
              <w:rPr>
                <w:rFonts w:hint="default" w:eastAsiaTheme="minorHAnsi"/>
                <w:iCs/>
                <w:kern w:val="0"/>
                <w:sz w:val="20"/>
                <w:szCs w:val="20"/>
                <w:lang w:val="pt-BR"/>
              </w:rPr>
              <w:t xml:space="preserve">                                                </w:t>
            </w:r>
            <w:r>
              <w:rPr>
                <w:rFonts w:eastAsiaTheme="minorHAnsi"/>
                <w:iCs/>
                <w:kern w:val="0"/>
                <w:sz w:val="20"/>
                <w:szCs w:val="20"/>
              </w:rPr>
              <w:t>Preço</w:t>
            </w:r>
            <w:r>
              <w:rPr>
                <w:rFonts w:hint="default" w:eastAsiaTheme="minorHAnsi"/>
                <w:iCs/>
                <w:kern w:val="0"/>
                <w:sz w:val="20"/>
                <w:szCs w:val="20"/>
                <w:lang w:val="pt-BR"/>
              </w:rPr>
              <w:t xml:space="preserve"> estimado</w:t>
            </w:r>
            <w:r>
              <w:rPr>
                <w:rFonts w:eastAsiaTheme="minorHAnsi"/>
                <w:iCs/>
                <w:kern w:val="0"/>
                <w:sz w:val="20"/>
                <w:szCs w:val="20"/>
              </w:rPr>
              <w:t xml:space="preserve"> total </w:t>
            </w:r>
          </w:p>
        </w:tc>
      </w:tr>
    </w:tbl>
    <w:p w14:paraId="751DC616">
      <w:pPr>
        <w:spacing w:before="120" w:after="0"/>
        <w:rPr>
          <w:sz w:val="20"/>
          <w:szCs w:val="20"/>
        </w:rPr>
      </w:pPr>
      <w:r>
        <w:rPr>
          <w:sz w:val="20"/>
          <w:szCs w:val="20"/>
        </w:rPr>
        <w:t>Valor total geral por extenso: ..........</w:t>
      </w:r>
    </w:p>
    <w:p w14:paraId="67324AEF">
      <w:pPr>
        <w:pStyle w:val="117"/>
        <w:numPr>
          <w:ilvl w:val="0"/>
          <w:numId w:val="17"/>
        </w:numPr>
        <w:rPr>
          <w:sz w:val="20"/>
          <w:szCs w:val="20"/>
        </w:rPr>
      </w:pPr>
      <w:r>
        <w:rPr>
          <w:sz w:val="20"/>
          <w:szCs w:val="20"/>
        </w:rPr>
        <w:t>CONDIÇÕES DA PROPOSTA</w:t>
      </w:r>
    </w:p>
    <w:p w14:paraId="7DD8D71C">
      <w:pPr>
        <w:rPr>
          <w:sz w:val="20"/>
          <w:szCs w:val="20"/>
        </w:rPr>
      </w:pPr>
      <w:r>
        <w:rPr>
          <w:sz w:val="20"/>
          <w:szCs w:val="20"/>
        </w:rPr>
        <w:t>Validade desta proposta: 12 (doze) meses.</w:t>
      </w:r>
    </w:p>
    <w:p w14:paraId="34844FDC">
      <w:pPr>
        <w:tabs>
          <w:tab w:val="left" w:pos="1575"/>
        </w:tabs>
        <w:jc w:val="both"/>
        <w:rPr>
          <w:rStyle w:val="59"/>
          <w:rFonts w:hint="default" w:eastAsia="Segoe UI" w:cs="Arial"/>
          <w:i w:val="0"/>
          <w:iCs w:val="0"/>
          <w:caps w:val="0"/>
          <w:color w:val="000000"/>
          <w:spacing w:val="0"/>
          <w:sz w:val="20"/>
          <w:szCs w:val="20"/>
          <w:shd w:val="clear" w:fill="FFFFFF"/>
          <w:lang w:val="pt-BR"/>
        </w:rPr>
      </w:pPr>
      <w:r>
        <w:rPr>
          <w:rStyle w:val="59"/>
          <w:rFonts w:hint="default" w:eastAsia="Segoe UI" w:cs="Arial"/>
          <w:i w:val="0"/>
          <w:iCs w:val="0"/>
          <w:caps w:val="0"/>
          <w:color w:val="000000"/>
          <w:spacing w:val="0"/>
          <w:sz w:val="20"/>
          <w:szCs w:val="20"/>
          <w:shd w:val="clear" w:fill="FFFFFF"/>
          <w:lang w:val="pt-BR"/>
        </w:rPr>
        <w:t>- Concordamos e atendemos a  todas condições estabelecidas em edital e anexos.</w:t>
      </w:r>
    </w:p>
    <w:p w14:paraId="1044A086">
      <w:pPr>
        <w:spacing w:before="0" w:after="0"/>
        <w:rPr>
          <w:sz w:val="20"/>
          <w:szCs w:val="20"/>
        </w:rPr>
      </w:pPr>
    </w:p>
    <w:p w14:paraId="6914B2D0">
      <w:pPr>
        <w:spacing w:before="0" w:after="0"/>
        <w:rPr>
          <w:sz w:val="20"/>
          <w:szCs w:val="20"/>
        </w:rPr>
      </w:pPr>
      <w:r>
        <w:rPr>
          <w:sz w:val="20"/>
          <w:szCs w:val="20"/>
        </w:rPr>
        <w:t>Data: ..........</w:t>
      </w:r>
    </w:p>
    <w:p w14:paraId="35FEE645">
      <w:pPr>
        <w:spacing w:before="0" w:after="0" w:line="240" w:lineRule="auto"/>
        <w:jc w:val="center"/>
        <w:rPr>
          <w:sz w:val="20"/>
          <w:szCs w:val="20"/>
        </w:rPr>
      </w:pPr>
      <w:r>
        <w:rPr>
          <w:sz w:val="20"/>
          <w:szCs w:val="20"/>
        </w:rPr>
        <w:t xml:space="preserve">Razão Social </w:t>
      </w:r>
    </w:p>
    <w:p w14:paraId="12FDC74E">
      <w:pPr>
        <w:spacing w:before="0" w:after="0" w:line="240" w:lineRule="auto"/>
        <w:jc w:val="center"/>
        <w:rPr>
          <w:rFonts w:hint="default"/>
          <w:sz w:val="20"/>
          <w:szCs w:val="20"/>
          <w:lang w:val="pt-BR"/>
        </w:rPr>
      </w:pPr>
      <w:r>
        <w:rPr>
          <w:sz w:val="20"/>
          <w:szCs w:val="20"/>
        </w:rPr>
        <w:t>Nome do Responsável</w:t>
      </w:r>
      <w:r>
        <w:rPr>
          <w:rFonts w:hint="default"/>
          <w:sz w:val="20"/>
          <w:szCs w:val="20"/>
          <w:lang w:val="pt-BR"/>
        </w:rPr>
        <w:t xml:space="preserve"> </w:t>
      </w:r>
    </w:p>
    <w:p w14:paraId="399F76BA">
      <w:pPr>
        <w:spacing w:before="0" w:after="0" w:line="240" w:lineRule="auto"/>
        <w:jc w:val="center"/>
        <w:rPr>
          <w:sz w:val="20"/>
          <w:szCs w:val="20"/>
        </w:rPr>
      </w:pPr>
      <w:r>
        <w:rPr>
          <w:sz w:val="20"/>
          <w:szCs w:val="20"/>
        </w:rPr>
        <w:t>(assinatura)</w:t>
      </w:r>
    </w:p>
    <w:p w14:paraId="0BAD5E09">
      <w:pPr>
        <w:tabs>
          <w:tab w:val="left" w:pos="5205"/>
        </w:tabs>
        <w:ind w:right="-2"/>
        <w:jc w:val="center"/>
        <w:rPr>
          <w:rFonts w:cs="Arial"/>
          <w:b/>
          <w:bCs/>
          <w:szCs w:val="24"/>
        </w:rPr>
      </w:pPr>
      <w:r>
        <w:rPr>
          <w:rFonts w:hint="default" w:cs="Arial"/>
          <w:b/>
          <w:bCs/>
          <w:szCs w:val="24"/>
          <w:lang w:val="pt-BR"/>
        </w:rPr>
        <w:t>A</w:t>
      </w:r>
      <w:r>
        <w:rPr>
          <w:rFonts w:cs="Arial"/>
          <w:b/>
          <w:bCs/>
          <w:szCs w:val="24"/>
        </w:rPr>
        <w:t>NEXO III</w:t>
      </w:r>
    </w:p>
    <w:p w14:paraId="69800437">
      <w:pPr>
        <w:spacing w:before="120" w:after="0" w:line="264" w:lineRule="auto"/>
        <w:jc w:val="center"/>
        <w:rPr>
          <w:b/>
          <w:bCs/>
          <w:sz w:val="28"/>
          <w:szCs w:val="28"/>
        </w:rPr>
      </w:pPr>
      <w:r>
        <w:rPr>
          <w:b/>
          <w:bCs/>
          <w:sz w:val="28"/>
          <w:szCs w:val="28"/>
        </w:rPr>
        <w:t xml:space="preserve">ATA DE REGISTRO DE PREÇOS Nº </w:t>
      </w:r>
      <w:r>
        <w:rPr>
          <w:b/>
          <w:bCs/>
          <w:color w:val="000000" w:themeColor="text1"/>
          <w:sz w:val="28"/>
          <w:szCs w:val="28"/>
          <w14:textFill>
            <w14:solidFill>
              <w14:schemeClr w14:val="tx1"/>
            </w14:solidFill>
          </w14:textFill>
        </w:rPr>
        <w:t>_ _ _</w:t>
      </w:r>
      <w:r>
        <w:rPr>
          <w:b/>
          <w:bCs/>
          <w:sz w:val="28"/>
          <w:szCs w:val="28"/>
        </w:rPr>
        <w:t xml:space="preserve"> / _ _ _</w:t>
      </w:r>
    </w:p>
    <w:p w14:paraId="4B3667FC">
      <w:pPr>
        <w:spacing w:before="120" w:after="0" w:line="264" w:lineRule="auto"/>
        <w:jc w:val="both"/>
      </w:pPr>
      <w:r>
        <w:t xml:space="preserve">O </w:t>
      </w:r>
      <w:r>
        <w:rPr>
          <w:b/>
          <w:bCs/>
        </w:rPr>
        <w:t>MUNICÍPIO DE PARANAVAÍ</w:t>
      </w:r>
      <w:r>
        <w:t>, pessoa jurídica de direito público interno, com sede administrativa na Rua Getúlio Vargas, n.º 900, Centro, Paranavaí, Paraná, CEP: 87702-000, inscrito no CNPJ/MF sob o n.º 76.977.768/0001-81, neste ato representado pelo Secretário .........., ...........(nome e qualificação), residente e domiciliado nesta cidade, registra os preços dos itens relacionados, nas seguintes condições.</w:t>
      </w:r>
    </w:p>
    <w:p w14:paraId="5D69C02B">
      <w:pPr>
        <w:pStyle w:val="41"/>
        <w:keepNext/>
        <w:numPr>
          <w:ilvl w:val="0"/>
          <w:numId w:val="18"/>
        </w:numPr>
        <w:pBdr>
          <w:bottom w:val="thinThickMediumGap" w:color="000000" w:sz="18" w:space="1"/>
        </w:pBdr>
        <w:tabs>
          <w:tab w:val="left" w:pos="2127"/>
        </w:tabs>
        <w:spacing w:before="360" w:after="0" w:line="264" w:lineRule="auto"/>
        <w:ind w:left="0" w:firstLine="0"/>
        <w:contextualSpacing/>
        <w:jc w:val="both"/>
        <w:rPr>
          <w:b/>
          <w:bCs/>
        </w:rPr>
      </w:pPr>
      <w:r>
        <w:rPr>
          <w:b/>
          <w:bCs/>
        </w:rPr>
        <w:t>NORMAS</w:t>
      </w:r>
      <w:r>
        <w:rPr>
          <w:b/>
        </w:rPr>
        <w:t xml:space="preserve"> </w:t>
      </w:r>
      <w:r>
        <w:rPr>
          <w:b/>
          <w:bCs/>
        </w:rPr>
        <w:t xml:space="preserve">REGENTES  </w:t>
      </w:r>
    </w:p>
    <w:p w14:paraId="008F40D0">
      <w:pPr>
        <w:pStyle w:val="41"/>
        <w:numPr>
          <w:ilvl w:val="1"/>
          <w:numId w:val="19"/>
        </w:numPr>
        <w:tabs>
          <w:tab w:val="left" w:pos="0"/>
          <w:tab w:val="left" w:pos="567"/>
          <w:tab w:val="left" w:pos="1843"/>
        </w:tabs>
        <w:spacing w:before="120" w:after="0" w:line="264" w:lineRule="auto"/>
        <w:ind w:left="0" w:firstLine="0"/>
        <w:contextualSpacing/>
        <w:jc w:val="both"/>
        <w:rPr>
          <w:rFonts w:ascii="Segoe UI" w:hAnsi="Segoe UI" w:cs="Segoe UI"/>
          <w:color w:val="385724" w:themeColor="accent6" w:themeShade="80"/>
          <w:sz w:val="22"/>
          <w:szCs w:val="18"/>
        </w:rPr>
      </w:pPr>
      <w:r>
        <w:t xml:space="preserve">Esta Ata de Registro de preços está vinculada ao Processo Administrativo nº </w:t>
      </w:r>
      <w:r>
        <w:rPr>
          <w:rFonts w:hint="default"/>
          <w:lang w:val="pt-BR"/>
        </w:rPr>
        <w:t>017</w:t>
      </w:r>
      <w:r>
        <w:t>/202</w:t>
      </w:r>
      <w:r>
        <w:rPr>
          <w:rFonts w:hint="default"/>
          <w:lang w:val="pt-BR"/>
        </w:rPr>
        <w:t>6</w:t>
      </w:r>
      <w:r>
        <w:t xml:space="preserve"> Pregão Eletrônico nº </w:t>
      </w:r>
      <w:r>
        <w:rPr>
          <w:rFonts w:hint="default"/>
          <w:lang w:val="pt-BR"/>
        </w:rPr>
        <w:t>012</w:t>
      </w:r>
      <w:r>
        <w:t>/202</w:t>
      </w:r>
      <w:r>
        <w:rPr>
          <w:rFonts w:hint="default"/>
          <w:lang w:val="pt-BR"/>
        </w:rPr>
        <w:t>6</w:t>
      </w:r>
      <w:r>
        <w:t>, ao edital e à proposta apresentada pelos fornecedores signatários, regendo-se por suas cláusulas e, em legislação geral, pela Lei nº 14.133/2021,  Decreto municipal nº 24.731/2023</w:t>
      </w:r>
      <w:r>
        <w:rPr>
          <w:rFonts w:hint="default"/>
          <w:lang w:val="pt-BR"/>
        </w:rPr>
        <w:t xml:space="preserve">  e demais legislação aplicavél</w:t>
      </w:r>
      <w:r>
        <w:t>.</w:t>
      </w:r>
    </w:p>
    <w:p w14:paraId="4D3DD8E6">
      <w:pPr>
        <w:pStyle w:val="41"/>
        <w:tabs>
          <w:tab w:val="left" w:pos="567"/>
          <w:tab w:val="left" w:pos="1843"/>
        </w:tabs>
        <w:spacing w:before="120" w:after="0" w:line="264" w:lineRule="auto"/>
        <w:ind w:left="0"/>
        <w:contextualSpacing/>
        <w:jc w:val="both"/>
        <w:rPr>
          <w:rStyle w:val="46"/>
          <w:color w:val="385724" w:themeColor="accent6" w:themeShade="80"/>
          <w:sz w:val="22"/>
        </w:rPr>
      </w:pPr>
    </w:p>
    <w:p w14:paraId="11FF5143">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rFonts w:cs="Arial"/>
          <w:b/>
          <w:bCs/>
          <w:szCs w:val="24"/>
        </w:rPr>
      </w:pPr>
      <w:r>
        <w:rPr>
          <w:b/>
          <w:bCs/>
        </w:rPr>
        <w:t>VIGÊNCIA</w:t>
      </w:r>
    </w:p>
    <w:p w14:paraId="7B6F15F2">
      <w:pPr>
        <w:pStyle w:val="41"/>
        <w:numPr>
          <w:ilvl w:val="1"/>
          <w:numId w:val="19"/>
        </w:numPr>
        <w:tabs>
          <w:tab w:val="left" w:pos="0"/>
          <w:tab w:val="left" w:pos="567"/>
          <w:tab w:val="left" w:pos="1843"/>
        </w:tabs>
        <w:spacing w:before="120" w:after="0" w:line="264" w:lineRule="auto"/>
        <w:ind w:left="0" w:firstLine="0"/>
        <w:contextualSpacing/>
        <w:jc w:val="both"/>
        <w:rPr>
          <w:color w:val="000000" w:themeColor="text1"/>
          <w14:textFill>
            <w14:solidFill>
              <w14:schemeClr w14:val="tx1"/>
            </w14:solidFill>
          </w14:textFill>
        </w:rPr>
      </w:pPr>
      <w:r>
        <w:t xml:space="preserve">O prazo de vigência desta ata de registro de preços será de </w:t>
      </w:r>
      <w:r>
        <w:rPr>
          <w:rFonts w:hint="default"/>
          <w:lang w:val="pt-BR"/>
        </w:rPr>
        <w:t>12</w:t>
      </w:r>
      <w:r>
        <w:t xml:space="preserve"> (</w:t>
      </w:r>
      <w:r>
        <w:rPr>
          <w:rFonts w:hint="default"/>
          <w:lang w:val="pt-BR"/>
        </w:rPr>
        <w:t>doze</w:t>
      </w:r>
      <w:r>
        <w:t xml:space="preserve">) </w:t>
      </w:r>
      <w:r>
        <w:rPr>
          <w:rFonts w:hint="default"/>
          <w:lang w:val="pt-BR"/>
        </w:rPr>
        <w:t>meses</w:t>
      </w:r>
      <w:r>
        <w:t xml:space="preserve">, podendo ser prorrogado por igual período, e, no seu aniversário, </w:t>
      </w:r>
      <w:r>
        <w:rPr>
          <w:color w:val="000000" w:themeColor="text1"/>
          <w14:textFill>
            <w14:solidFill>
              <w14:schemeClr w14:val="tx1"/>
            </w14:solidFill>
          </w14:textFill>
        </w:rPr>
        <w:t>será reestabelecido o quantitativo inicial, sem que ocorra a acumulação de itens entre os períodos.</w:t>
      </w:r>
    </w:p>
    <w:p w14:paraId="2792DE72">
      <w:pPr>
        <w:pStyle w:val="41"/>
        <w:numPr>
          <w:ilvl w:val="1"/>
          <w:numId w:val="19"/>
        </w:numPr>
        <w:tabs>
          <w:tab w:val="left" w:pos="0"/>
          <w:tab w:val="left" w:pos="567"/>
          <w:tab w:val="left" w:pos="1843"/>
        </w:tabs>
        <w:spacing w:before="120" w:after="0" w:line="264" w:lineRule="auto"/>
        <w:ind w:left="0" w:firstLine="0"/>
        <w:contextualSpacing/>
        <w:jc w:val="both"/>
      </w:pPr>
      <w:r>
        <w:rPr>
          <w:rFonts w:hint="default"/>
          <w:lang w:val="pt-BR"/>
        </w:rPr>
        <w:t xml:space="preserve">Os contratos </w:t>
      </w:r>
      <w:r>
        <w:rPr>
          <w:rFonts w:ascii="Arial" w:hAnsi="Arial" w:eastAsia="SimSun" w:cs="Arial"/>
          <w:i w:val="0"/>
          <w:iCs w:val="0"/>
          <w:caps w:val="0"/>
          <w:color w:val="000000"/>
          <w:spacing w:val="0"/>
          <w:sz w:val="24"/>
          <w:szCs w:val="24"/>
        </w:rPr>
        <w:t>decorrente d</w:t>
      </w:r>
      <w:r>
        <w:rPr>
          <w:rFonts w:hint="default" w:eastAsia="SimSun" w:cs="Arial"/>
          <w:i w:val="0"/>
          <w:iCs w:val="0"/>
          <w:caps w:val="0"/>
          <w:color w:val="000000"/>
          <w:spacing w:val="0"/>
          <w:sz w:val="24"/>
          <w:szCs w:val="24"/>
          <w:lang w:val="pt-BR"/>
        </w:rPr>
        <w:t>esta</w:t>
      </w:r>
      <w:r>
        <w:rPr>
          <w:rFonts w:ascii="Arial" w:hAnsi="Arial" w:eastAsia="SimSun" w:cs="Arial"/>
          <w:i w:val="0"/>
          <w:iCs w:val="0"/>
          <w:caps w:val="0"/>
          <w:color w:val="000000"/>
          <w:spacing w:val="0"/>
          <w:sz w:val="24"/>
          <w:szCs w:val="24"/>
        </w:rPr>
        <w:t xml:space="preserve"> ata de </w:t>
      </w:r>
      <w:r>
        <w:rPr>
          <w:rFonts w:eastAsia="SimSun" w:cs="Arial"/>
          <w:i w:val="0"/>
          <w:iCs w:val="0"/>
          <w:caps w:val="0"/>
          <w:color w:val="000000"/>
          <w:spacing w:val="0"/>
          <w:sz w:val="24"/>
          <w:szCs w:val="24"/>
          <w:lang w:val="pt-BR"/>
        </w:rPr>
        <w:t>regist</w:t>
      </w:r>
      <w:r>
        <w:rPr>
          <w:rFonts w:hint="default" w:eastAsia="SimSun" w:cs="Arial"/>
          <w:i w:val="0"/>
          <w:iCs w:val="0"/>
          <w:caps w:val="0"/>
          <w:color w:val="000000"/>
          <w:spacing w:val="0"/>
          <w:sz w:val="24"/>
          <w:szCs w:val="24"/>
          <w:lang w:val="pt-BR"/>
        </w:rPr>
        <w:t>r</w:t>
      </w:r>
      <w:r>
        <w:rPr>
          <w:rFonts w:eastAsia="SimSun" w:cs="Arial"/>
          <w:i w:val="0"/>
          <w:iCs w:val="0"/>
          <w:caps w:val="0"/>
          <w:color w:val="000000"/>
          <w:spacing w:val="0"/>
          <w:sz w:val="24"/>
          <w:szCs w:val="24"/>
          <w:lang w:val="pt-BR"/>
        </w:rPr>
        <w:t>o</w:t>
      </w:r>
      <w:r>
        <w:rPr>
          <w:rFonts w:ascii="Arial" w:hAnsi="Arial" w:eastAsia="SimSun" w:cs="Arial"/>
          <w:i w:val="0"/>
          <w:iCs w:val="0"/>
          <w:caps w:val="0"/>
          <w:color w:val="000000"/>
          <w:spacing w:val="0"/>
          <w:sz w:val="24"/>
          <w:szCs w:val="24"/>
        </w:rPr>
        <w:t xml:space="preserve"> de preços</w:t>
      </w:r>
      <w:r>
        <w:rPr>
          <w:rFonts w:hint="default" w:eastAsia="SimSun" w:cs="Arial"/>
          <w:i w:val="0"/>
          <w:iCs w:val="0"/>
          <w:caps w:val="0"/>
          <w:color w:val="000000"/>
          <w:spacing w:val="0"/>
          <w:sz w:val="24"/>
          <w:szCs w:val="24"/>
          <w:lang w:val="pt-BR"/>
        </w:rPr>
        <w:t>, terá vigência de 1(um) ano, podendo ser prorrogável , desde que comprovada a vantajosidade ; sendo observado , no que couber, a Lei Federal nº 14.133/21, art.105 ao 140, bem como seus incisos e parágrafos.</w:t>
      </w:r>
    </w:p>
    <w:p w14:paraId="18D7D65D">
      <w:pPr>
        <w:pStyle w:val="41"/>
        <w:tabs>
          <w:tab w:val="left" w:pos="567"/>
          <w:tab w:val="left" w:pos="1843"/>
        </w:tabs>
        <w:spacing w:before="120" w:after="0" w:line="264" w:lineRule="auto"/>
        <w:ind w:left="0"/>
        <w:contextualSpacing/>
        <w:jc w:val="both"/>
      </w:pPr>
    </w:p>
    <w:p w14:paraId="46ECD4B4">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r>
        <w:rPr>
          <w:b/>
          <w:bCs/>
        </w:rPr>
        <w:t>OBJETO</w:t>
      </w:r>
    </w:p>
    <w:p w14:paraId="4087C12D">
      <w:pPr>
        <w:numPr>
          <w:ilvl w:val="1"/>
          <w:numId w:val="19"/>
        </w:numPr>
        <w:tabs>
          <w:tab w:val="left" w:pos="0"/>
        </w:tabs>
        <w:bidi w:val="0"/>
        <w:ind w:left="0" w:leftChars="0" w:firstLine="0" w:firstLineChars="0"/>
        <w:jc w:val="both"/>
      </w:pPr>
      <w:r>
        <w:t xml:space="preserve">O objeto desta Ata de </w:t>
      </w:r>
      <w:r>
        <w:rPr>
          <w:rFonts w:hint="default"/>
          <w:lang w:val="en-US" w:eastAsia="zh-CN"/>
        </w:rPr>
        <w:t xml:space="preserve">Registro de Preços </w:t>
      </w:r>
      <w:r>
        <w:t xml:space="preserve"> para aquisição futura e parcelada de Massa asfáltica usinada a quente (CBUQ) para aplicação à frio, a serem utilizados em execução de reparações </w:t>
      </w:r>
      <w:r>
        <w:rPr>
          <w:spacing w:val="-2"/>
        </w:rPr>
        <w:t>asfálticas.</w:t>
      </w:r>
    </w:p>
    <w:p w14:paraId="03CF3849">
      <w:pPr>
        <w:pStyle w:val="41"/>
        <w:numPr>
          <w:ilvl w:val="0"/>
          <w:numId w:val="0"/>
        </w:numPr>
        <w:ind w:leftChars="0"/>
        <w:jc w:val="both"/>
        <w:rPr>
          <w:rFonts w:hint="default"/>
          <w:lang w:val="pt-BR"/>
        </w:rPr>
      </w:pPr>
      <w:r>
        <w:rPr>
          <w:rFonts w:hint="default"/>
          <w:lang w:val="pt-BR"/>
        </w:rPr>
        <w:t>3.2. Especificação dos serviços:</w:t>
      </w:r>
    </w:p>
    <w:tbl>
      <w:tblPr>
        <w:tblStyle w:val="10"/>
        <w:tblpPr w:leftFromText="180" w:rightFromText="180" w:vertAnchor="text" w:horzAnchor="page" w:tblpX="1298" w:tblpY="491"/>
        <w:tblOverlap w:val="never"/>
        <w:tblW w:w="100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8"/>
        <w:gridCol w:w="452"/>
        <w:gridCol w:w="2879"/>
        <w:gridCol w:w="1143"/>
        <w:gridCol w:w="1130"/>
        <w:gridCol w:w="1108"/>
        <w:gridCol w:w="1431"/>
        <w:gridCol w:w="1315"/>
      </w:tblGrid>
      <w:tr w14:paraId="286C0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638"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097D56FE">
            <w:pPr>
              <w:bidi w:val="0"/>
              <w:jc w:val="center"/>
              <w:rPr>
                <w:rFonts w:ascii="Arial" w:hAnsi="Arial" w:eastAsia="Arial" w:cs="Arial"/>
                <w:b/>
                <w:color w:val="000000"/>
                <w:spacing w:val="0"/>
                <w:sz w:val="16"/>
                <w:szCs w:val="16"/>
              </w:rPr>
            </w:pPr>
            <w:r>
              <w:rPr>
                <w:rFonts w:ascii="Arial" w:hAnsi="Arial" w:eastAsia="Arial" w:cs="Arial"/>
                <w:b/>
                <w:color w:val="000000"/>
                <w:spacing w:val="0"/>
                <w:sz w:val="16"/>
                <w:szCs w:val="16"/>
              </w:rPr>
              <w:t>Item</w:t>
            </w:r>
          </w:p>
        </w:tc>
        <w:tc>
          <w:tcPr>
            <w:tcW w:w="3331" w:type="dxa"/>
            <w:gridSpan w:val="2"/>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tcPr>
          <w:p w14:paraId="601453BF">
            <w:pPr>
              <w:bidi w:val="0"/>
              <w:ind w:firstLine="240" w:firstLineChars="150"/>
              <w:jc w:val="center"/>
              <w:rPr>
                <w:rFonts w:ascii="Arial" w:hAnsi="Arial" w:eastAsia="Arial" w:cs="Arial"/>
                <w:b/>
                <w:color w:val="000000"/>
                <w:spacing w:val="0"/>
                <w:sz w:val="16"/>
                <w:szCs w:val="16"/>
              </w:rPr>
            </w:pPr>
            <w:r>
              <w:rPr>
                <w:rFonts w:ascii="Arial" w:hAnsi="Arial" w:eastAsia="Arial" w:cs="Arial"/>
                <w:b/>
                <w:color w:val="000000"/>
                <w:spacing w:val="0"/>
                <w:sz w:val="16"/>
                <w:szCs w:val="16"/>
              </w:rPr>
              <w:t>Descrição</w:t>
            </w:r>
          </w:p>
        </w:tc>
        <w:tc>
          <w:tcPr>
            <w:tcW w:w="1143"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tcPr>
          <w:p w14:paraId="47626BD1">
            <w:pPr>
              <w:bidi w:val="0"/>
              <w:jc w:val="center"/>
              <w:rPr>
                <w:rFonts w:ascii="Arial" w:hAnsi="Arial" w:eastAsia="Arial" w:cs="Arial"/>
                <w:b/>
                <w:color w:val="000000"/>
                <w:spacing w:val="0"/>
                <w:sz w:val="16"/>
                <w:szCs w:val="16"/>
              </w:rPr>
            </w:pPr>
            <w:r>
              <w:rPr>
                <w:rFonts w:ascii="Arial" w:hAnsi="Arial" w:eastAsia="Arial" w:cs="Arial"/>
                <w:b/>
                <w:color w:val="000000"/>
                <w:spacing w:val="0"/>
                <w:sz w:val="16"/>
                <w:szCs w:val="16"/>
              </w:rPr>
              <w:t>Unidade</w:t>
            </w:r>
          </w:p>
        </w:tc>
        <w:tc>
          <w:tcPr>
            <w:tcW w:w="1130"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45462618">
            <w:pPr>
              <w:bidi w:val="0"/>
              <w:jc w:val="center"/>
              <w:rPr>
                <w:rFonts w:ascii="Arial" w:hAnsi="Arial" w:eastAsia="Arial" w:cs="Arial"/>
                <w:b/>
                <w:color w:val="000000"/>
                <w:spacing w:val="0"/>
                <w:sz w:val="16"/>
                <w:szCs w:val="16"/>
              </w:rPr>
            </w:pPr>
            <w:r>
              <w:rPr>
                <w:rFonts w:ascii="Arial" w:hAnsi="Arial" w:eastAsia="Arial" w:cs="Arial"/>
                <w:b/>
                <w:color w:val="000000"/>
                <w:spacing w:val="0"/>
                <w:sz w:val="16"/>
                <w:szCs w:val="16"/>
              </w:rPr>
              <w:t xml:space="preserve">Quantidade  </w:t>
            </w:r>
            <w:r>
              <w:rPr>
                <w:rFonts w:hint="default" w:eastAsia="Arial" w:cs="Arial"/>
                <w:b/>
                <w:color w:val="000000"/>
                <w:spacing w:val="0"/>
                <w:sz w:val="16"/>
                <w:szCs w:val="16"/>
                <w:lang w:val="pt-BR"/>
              </w:rPr>
              <w:t>Estimada</w:t>
            </w:r>
          </w:p>
        </w:tc>
        <w:tc>
          <w:tcPr>
            <w:tcW w:w="1108"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2E248911">
            <w:pPr>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Marca</w:t>
            </w:r>
          </w:p>
        </w:tc>
        <w:tc>
          <w:tcPr>
            <w:tcW w:w="1431"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1588299F">
            <w:pPr>
              <w:wordWrap/>
              <w:bidi w:val="0"/>
              <w:jc w:val="center"/>
              <w:rPr>
                <w:rFonts w:ascii="Arial" w:hAnsi="Arial" w:eastAsia="Arial" w:cs="Arial"/>
                <w:b/>
                <w:color w:val="000000"/>
                <w:spacing w:val="0"/>
                <w:sz w:val="16"/>
                <w:szCs w:val="16"/>
              </w:rPr>
            </w:pPr>
            <w:r>
              <w:rPr>
                <w:rFonts w:hint="default" w:eastAsia="Arial" w:cs="Arial"/>
                <w:b/>
                <w:color w:val="000000"/>
                <w:spacing w:val="0"/>
                <w:sz w:val="16"/>
                <w:szCs w:val="16"/>
                <w:lang w:val="pt-BR"/>
              </w:rPr>
              <w:t xml:space="preserve">Valor </w:t>
            </w:r>
            <w:r>
              <w:rPr>
                <w:rFonts w:ascii="Arial" w:hAnsi="Arial" w:eastAsia="Arial" w:cs="Arial"/>
                <w:b/>
                <w:color w:val="000000"/>
                <w:spacing w:val="0"/>
                <w:sz w:val="16"/>
                <w:szCs w:val="16"/>
              </w:rPr>
              <w:t xml:space="preserve"> Total</w:t>
            </w:r>
          </w:p>
          <w:p w14:paraId="6DBA5675">
            <w:pPr>
              <w:wordWrap/>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Estimado</w:t>
            </w:r>
          </w:p>
        </w:tc>
        <w:tc>
          <w:tcPr>
            <w:tcW w:w="1315" w:type="dxa"/>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60" w:type="dxa"/>
            </w:tcMar>
          </w:tcPr>
          <w:p w14:paraId="343C06CD">
            <w:pPr>
              <w:wordWrap/>
              <w:bidi w:val="0"/>
              <w:jc w:val="center"/>
              <w:rPr>
                <w:rFonts w:hint="default" w:eastAsia="Arial" w:cs="Arial"/>
                <w:b/>
                <w:color w:val="000000"/>
                <w:spacing w:val="0"/>
                <w:sz w:val="16"/>
                <w:szCs w:val="16"/>
                <w:lang w:val="pt-BR"/>
              </w:rPr>
            </w:pPr>
            <w:r>
              <w:rPr>
                <w:rFonts w:hint="default" w:eastAsia="Arial" w:cs="Arial"/>
                <w:b/>
                <w:color w:val="000000"/>
                <w:spacing w:val="0"/>
                <w:sz w:val="16"/>
                <w:szCs w:val="16"/>
                <w:lang w:val="pt-BR"/>
              </w:rPr>
              <w:t>Valor</w:t>
            </w:r>
            <w:r>
              <w:rPr>
                <w:rFonts w:ascii="Arial" w:hAnsi="Arial" w:eastAsia="Arial" w:cs="Arial"/>
                <w:b/>
                <w:color w:val="000000"/>
                <w:spacing w:val="0"/>
                <w:sz w:val="16"/>
                <w:szCs w:val="16"/>
              </w:rPr>
              <w:t xml:space="preserve"> Unitária</w:t>
            </w:r>
          </w:p>
          <w:p w14:paraId="0A19046A">
            <w:pPr>
              <w:wordWrap/>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Estimado</w:t>
            </w:r>
          </w:p>
        </w:tc>
      </w:tr>
      <w:tr w14:paraId="05CD6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00252627">
            <w:pPr>
              <w:bidi w:val="0"/>
              <w:jc w:val="center"/>
              <w:rPr>
                <w:rFonts w:ascii="Arial" w:hAnsi="Arial" w:eastAsia="Arial" w:cs="Arial"/>
                <w:color w:val="000000"/>
                <w:spacing w:val="0"/>
                <w:kern w:val="0"/>
                <w:sz w:val="16"/>
                <w:szCs w:val="16"/>
                <w:lang w:val="pt-BR" w:eastAsia="en-US" w:bidi="ar-SA"/>
              </w:rPr>
            </w:pPr>
            <w:r>
              <w:rPr>
                <w:rFonts w:ascii="Arial" w:hAnsi="Arial" w:eastAsia="Arial" w:cs="Arial"/>
                <w:color w:val="000000"/>
                <w:spacing w:val="0"/>
                <w:sz w:val="16"/>
                <w:szCs w:val="16"/>
              </w:rPr>
              <w:t>1</w:t>
            </w:r>
          </w:p>
        </w:tc>
        <w:tc>
          <w:tcPr>
            <w:tcW w:w="3331" w:type="dxa"/>
            <w:gridSpan w:val="2"/>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4E47CF86">
            <w:pPr>
              <w:bidi w:val="0"/>
              <w:rPr>
                <w:rFonts w:ascii="Arial" w:hAnsi="Arial" w:eastAsia="Arial" w:cs="Arial"/>
                <w:color w:val="000000"/>
                <w:spacing w:val="0"/>
                <w:kern w:val="0"/>
                <w:sz w:val="16"/>
                <w:szCs w:val="16"/>
                <w:lang w:val="pt-BR" w:eastAsia="en-US" w:bidi="ar-SA"/>
              </w:rPr>
            </w:pPr>
          </w:p>
        </w:tc>
        <w:tc>
          <w:tcPr>
            <w:tcW w:w="1143"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2D6BF287">
            <w:pPr>
              <w:bidi w:val="0"/>
              <w:jc w:val="center"/>
              <w:rPr>
                <w:rFonts w:ascii="Arial" w:hAnsi="Arial" w:eastAsia="Arial" w:cs="Arial"/>
                <w:color w:val="000000"/>
                <w:spacing w:val="0"/>
                <w:kern w:val="0"/>
                <w:sz w:val="16"/>
                <w:szCs w:val="16"/>
                <w:lang w:val="pt-BR" w:eastAsia="en-US" w:bidi="ar-SA"/>
              </w:rPr>
            </w:pPr>
          </w:p>
        </w:tc>
        <w:tc>
          <w:tcPr>
            <w:tcW w:w="1130"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0BA8A358">
            <w:pPr>
              <w:bidi w:val="0"/>
              <w:jc w:val="center"/>
              <w:rPr>
                <w:rFonts w:hint="default" w:ascii="Arial" w:hAnsi="Arial" w:eastAsia="Arial" w:cs="Arial"/>
                <w:color w:val="000000"/>
                <w:spacing w:val="0"/>
                <w:kern w:val="0"/>
                <w:sz w:val="16"/>
                <w:szCs w:val="16"/>
                <w:lang w:val="pt-BR" w:eastAsia="en-US" w:bidi="ar-SA"/>
              </w:rPr>
            </w:pPr>
          </w:p>
        </w:tc>
        <w:tc>
          <w:tcPr>
            <w:tcW w:w="1108"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509E0603">
            <w:pPr>
              <w:bidi w:val="0"/>
              <w:jc w:val="center"/>
              <w:rPr>
                <w:rFonts w:hint="default" w:ascii="Arial" w:hAnsi="Arial" w:eastAsia="Arial" w:cs="Arial"/>
                <w:color w:val="000000"/>
                <w:spacing w:val="0"/>
                <w:kern w:val="0"/>
                <w:sz w:val="16"/>
                <w:szCs w:val="16"/>
                <w:lang w:val="pt-BR" w:eastAsia="en-US" w:bidi="ar-SA"/>
              </w:rPr>
            </w:pPr>
          </w:p>
        </w:tc>
        <w:tc>
          <w:tcPr>
            <w:tcW w:w="1431"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213F32CF">
            <w:pPr>
              <w:bidi w:val="0"/>
              <w:jc w:val="center"/>
              <w:rPr>
                <w:rFonts w:ascii="Arial" w:hAnsi="Arial" w:eastAsia="Arial" w:cs="Arial"/>
                <w:color w:val="000000"/>
                <w:spacing w:val="0"/>
                <w:kern w:val="0"/>
                <w:sz w:val="16"/>
                <w:szCs w:val="16"/>
                <w:lang w:val="pt-BR" w:eastAsia="en-US" w:bidi="ar-SA"/>
              </w:rPr>
            </w:pPr>
          </w:p>
        </w:tc>
        <w:tc>
          <w:tcPr>
            <w:tcW w:w="1315" w:type="dxa"/>
            <w:tcBorders>
              <w:top w:val="single" w:color="auto" w:sz="4" w:space="0"/>
              <w:left w:val="single" w:color="auto" w:sz="4" w:space="0"/>
              <w:bottom w:val="single" w:color="auto" w:sz="4" w:space="0"/>
              <w:right w:val="single" w:color="auto" w:sz="4" w:space="0"/>
            </w:tcBorders>
            <w:shd w:val="clear" w:color="auto" w:fill="auto"/>
            <w:noWrap w:val="0"/>
            <w:tcMar>
              <w:top w:w="0" w:type="dxa"/>
              <w:left w:w="0" w:type="dxa"/>
              <w:bottom w:w="0" w:type="dxa"/>
              <w:right w:w="0" w:type="dxa"/>
            </w:tcMar>
            <w:vAlign w:val="top"/>
          </w:tcPr>
          <w:p w14:paraId="3F53CEE8">
            <w:pPr>
              <w:bidi w:val="0"/>
              <w:jc w:val="center"/>
              <w:rPr>
                <w:rFonts w:ascii="Arial" w:hAnsi="Arial" w:eastAsia="Arial" w:cs="Arial"/>
                <w:color w:val="000000"/>
                <w:spacing w:val="0"/>
                <w:kern w:val="0"/>
                <w:sz w:val="16"/>
                <w:szCs w:val="16"/>
                <w:lang w:val="pt-BR" w:eastAsia="en-US" w:bidi="ar-SA"/>
              </w:rPr>
            </w:pPr>
          </w:p>
        </w:tc>
      </w:tr>
      <w:tr w14:paraId="7592F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090" w:type="dxa"/>
            <w:gridSpan w:val="2"/>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vAlign w:val="top"/>
          </w:tcPr>
          <w:p w14:paraId="3548A99E">
            <w:pPr>
              <w:wordWrap w:val="0"/>
              <w:bidi w:val="0"/>
              <w:jc w:val="center"/>
              <w:rPr>
                <w:rFonts w:hint="default" w:eastAsia="Arial" w:cs="Arial"/>
                <w:color w:val="000000"/>
                <w:spacing w:val="0"/>
                <w:sz w:val="16"/>
                <w:szCs w:val="16"/>
                <w:lang w:val="pt-BR"/>
              </w:rPr>
            </w:pPr>
          </w:p>
        </w:tc>
        <w:tc>
          <w:tcPr>
            <w:tcW w:w="9006" w:type="dxa"/>
            <w:gridSpan w:val="6"/>
            <w:tcBorders>
              <w:top w:val="single" w:color="auto" w:sz="4" w:space="0"/>
              <w:left w:val="single" w:color="auto" w:sz="4" w:space="0"/>
              <w:bottom w:val="single" w:color="auto" w:sz="4" w:space="0"/>
              <w:right w:val="single" w:color="auto" w:sz="4" w:space="0"/>
            </w:tcBorders>
            <w:shd w:val="clear" w:color="auto" w:fill="AAAAC6"/>
            <w:noWrap w:val="0"/>
            <w:tcMar>
              <w:top w:w="0" w:type="dxa"/>
              <w:left w:w="0" w:type="dxa"/>
              <w:bottom w:w="0" w:type="dxa"/>
              <w:right w:w="0" w:type="dxa"/>
            </w:tcMar>
            <w:vAlign w:val="top"/>
          </w:tcPr>
          <w:p w14:paraId="0791948F">
            <w:pPr>
              <w:wordWrap w:val="0"/>
              <w:bidi w:val="0"/>
              <w:jc w:val="center"/>
              <w:rPr>
                <w:rFonts w:hint="default" w:ascii="Arial" w:hAnsi="Arial" w:eastAsia="Arial" w:cs="Arial"/>
                <w:color w:val="000000"/>
                <w:spacing w:val="0"/>
                <w:sz w:val="16"/>
                <w:szCs w:val="16"/>
                <w:lang w:val="pt-BR"/>
              </w:rPr>
            </w:pPr>
            <w:r>
              <w:rPr>
                <w:rFonts w:hint="default" w:eastAsia="Arial" w:cs="Arial"/>
                <w:color w:val="000000"/>
                <w:spacing w:val="0"/>
                <w:sz w:val="16"/>
                <w:szCs w:val="16"/>
                <w:lang w:val="pt-BR"/>
              </w:rPr>
              <w:t xml:space="preserve">                                                                                             </w:t>
            </w:r>
            <w:r>
              <w:rPr>
                <w:rFonts w:hint="default" w:eastAsia="Arial" w:cs="Arial"/>
                <w:b/>
                <w:bCs/>
                <w:color w:val="000000"/>
                <w:spacing w:val="0"/>
                <w:sz w:val="16"/>
                <w:szCs w:val="16"/>
                <w:lang w:val="pt-BR"/>
              </w:rPr>
              <w:t xml:space="preserve"> Valor Total Estimado: </w:t>
            </w:r>
          </w:p>
        </w:tc>
      </w:tr>
    </w:tbl>
    <w:p w14:paraId="70831217">
      <w:pPr>
        <w:pStyle w:val="41"/>
        <w:numPr>
          <w:ilvl w:val="0"/>
          <w:numId w:val="0"/>
        </w:numPr>
        <w:ind w:leftChars="0"/>
        <w:jc w:val="both"/>
        <w:rPr>
          <w:rFonts w:hint="default"/>
          <w:lang w:val="pt-BR"/>
        </w:rPr>
      </w:pPr>
    </w:p>
    <w:p w14:paraId="01B23AE1">
      <w:pPr>
        <w:pStyle w:val="41"/>
        <w:keepNext/>
        <w:numPr>
          <w:ilvl w:val="0"/>
          <w:numId w:val="0"/>
        </w:numPr>
        <w:pBdr>
          <w:bottom w:val="thinThickMediumGap" w:color="000000" w:sz="18" w:space="1"/>
        </w:pBdr>
        <w:spacing w:before="360" w:after="0" w:line="264" w:lineRule="auto"/>
        <w:ind w:leftChars="0"/>
        <w:contextualSpacing/>
        <w:jc w:val="both"/>
        <w:rPr>
          <w:b/>
          <w:bCs/>
        </w:rPr>
      </w:pPr>
    </w:p>
    <w:p w14:paraId="0D493913">
      <w:pPr>
        <w:pStyle w:val="41"/>
        <w:keepNext/>
        <w:numPr>
          <w:ilvl w:val="0"/>
          <w:numId w:val="19"/>
        </w:numPr>
        <w:pBdr>
          <w:bottom w:val="thinThickMediumGap" w:color="000000" w:sz="18" w:space="1"/>
        </w:pBdr>
        <w:tabs>
          <w:tab w:val="left" w:pos="0"/>
        </w:tabs>
        <w:spacing w:before="360" w:after="0" w:line="264" w:lineRule="auto"/>
        <w:ind w:left="0" w:firstLine="0"/>
        <w:contextualSpacing/>
        <w:jc w:val="both"/>
        <w:rPr>
          <w:b/>
          <w:bCs/>
        </w:rPr>
      </w:pPr>
      <w:r>
        <w:rPr>
          <w:b/>
          <w:bCs/>
        </w:rPr>
        <w:t>FORNECEDORES E PREÇOS REGISTRADOS</w:t>
      </w:r>
    </w:p>
    <w:p w14:paraId="2D145E92">
      <w:pPr>
        <w:pStyle w:val="41"/>
        <w:numPr>
          <w:ilvl w:val="1"/>
          <w:numId w:val="19"/>
        </w:numPr>
        <w:tabs>
          <w:tab w:val="left" w:pos="0"/>
          <w:tab w:val="left" w:pos="567"/>
          <w:tab w:val="left" w:pos="1843"/>
        </w:tabs>
        <w:spacing w:before="120" w:after="0" w:line="264" w:lineRule="auto"/>
        <w:ind w:left="0" w:firstLine="0"/>
        <w:contextualSpacing/>
        <w:jc w:val="both"/>
      </w:pPr>
      <w:r>
        <w:t>Os fornecedores e seus preços registrados nesta Ata de Registro de Preços estão no Anexo I.</w:t>
      </w:r>
    </w:p>
    <w:p w14:paraId="6AD30314">
      <w:pPr>
        <w:pStyle w:val="41"/>
        <w:numPr>
          <w:ilvl w:val="1"/>
          <w:numId w:val="19"/>
        </w:numPr>
        <w:tabs>
          <w:tab w:val="left" w:pos="0"/>
          <w:tab w:val="left" w:pos="567"/>
          <w:tab w:val="left" w:pos="1843"/>
        </w:tabs>
        <w:spacing w:before="120" w:after="0" w:line="264" w:lineRule="auto"/>
        <w:ind w:left="0" w:firstLine="0"/>
        <w:contextualSpacing/>
        <w:jc w:val="both"/>
      </w:pPr>
      <w:r>
        <w:t>No caso de exclusão de fornecedor ou alteração dos preços, será elaborado termo de aditamento desta Ata, sendo dispensada a assinatura dos fornecedores que já firmaram ata de registro de preço e não tiveram alteração nos seus preços registrados.</w:t>
      </w:r>
    </w:p>
    <w:p w14:paraId="525DD932">
      <w:pPr>
        <w:pStyle w:val="41"/>
      </w:pPr>
    </w:p>
    <w:p w14:paraId="56431667">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r>
        <w:rPr>
          <w:b/>
          <w:bCs/>
        </w:rPr>
        <w:t xml:space="preserve">ÓRGÃO GERENCIADOR </w:t>
      </w:r>
    </w:p>
    <w:p w14:paraId="41D9C617">
      <w:pPr>
        <w:pStyle w:val="41"/>
        <w:numPr>
          <w:ilvl w:val="1"/>
          <w:numId w:val="19"/>
        </w:numPr>
        <w:tabs>
          <w:tab w:val="left" w:pos="0"/>
          <w:tab w:val="left" w:pos="567"/>
          <w:tab w:val="left" w:pos="1843"/>
        </w:tabs>
        <w:spacing w:before="120" w:after="0" w:line="264" w:lineRule="auto"/>
        <w:ind w:left="0" w:firstLine="0"/>
        <w:contextualSpacing/>
        <w:jc w:val="both"/>
      </w:pPr>
      <w:r>
        <w:t xml:space="preserve"> O órgão gerenciador desta ata de registro de preços </w:t>
      </w:r>
      <w:r>
        <w:rPr>
          <w:rFonts w:hint="default"/>
          <w:lang w:val="pt-BR"/>
        </w:rPr>
        <w:t xml:space="preserve">é  a </w:t>
      </w:r>
      <w:r>
        <w:t xml:space="preserve"> Secretaria Municipal de </w:t>
      </w:r>
      <w:r>
        <w:rPr>
          <w:rFonts w:hint="default"/>
          <w:lang w:val="pt-BR"/>
        </w:rPr>
        <w:t>Infraestrutura e Serviços Públicos.</w:t>
      </w:r>
    </w:p>
    <w:p w14:paraId="3282C951">
      <w:pPr>
        <w:pStyle w:val="41"/>
        <w:numPr>
          <w:ilvl w:val="0"/>
          <w:numId w:val="0"/>
        </w:numPr>
        <w:tabs>
          <w:tab w:val="left" w:pos="567"/>
          <w:tab w:val="left" w:pos="1843"/>
        </w:tabs>
        <w:spacing w:before="120" w:after="0" w:line="264" w:lineRule="auto"/>
        <w:ind w:leftChars="0"/>
        <w:contextualSpacing/>
        <w:jc w:val="both"/>
      </w:pPr>
    </w:p>
    <w:p w14:paraId="4820A2A1">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r>
        <w:rPr>
          <w:b/>
          <w:bCs/>
        </w:rPr>
        <w:t xml:space="preserve">QUANTIDADES </w:t>
      </w:r>
    </w:p>
    <w:p w14:paraId="61280809">
      <w:pPr>
        <w:pStyle w:val="41"/>
        <w:tabs>
          <w:tab w:val="left" w:pos="567"/>
          <w:tab w:val="left" w:pos="1843"/>
        </w:tabs>
        <w:spacing w:before="360" w:after="120" w:line="264" w:lineRule="auto"/>
        <w:ind w:left="0"/>
        <w:contextualSpacing/>
        <w:rPr>
          <w:highlight w:val="lightGray"/>
        </w:rPr>
      </w:pPr>
      <w:r>
        <w:rPr>
          <w:highlight w:val="lightGray"/>
        </w:rPr>
        <w:t xml:space="preserve"> </w:t>
      </w:r>
    </w:p>
    <w:p w14:paraId="0BC5D9E6">
      <w:pPr>
        <w:pStyle w:val="41"/>
        <w:numPr>
          <w:ilvl w:val="1"/>
          <w:numId w:val="19"/>
        </w:numPr>
        <w:tabs>
          <w:tab w:val="left" w:pos="0"/>
          <w:tab w:val="left" w:pos="567"/>
          <w:tab w:val="left" w:pos="1843"/>
        </w:tabs>
        <w:spacing w:before="240" w:after="120" w:line="264" w:lineRule="auto"/>
        <w:ind w:left="0" w:firstLine="0"/>
        <w:contextualSpacing/>
        <w:jc w:val="both"/>
      </w:pPr>
      <w:r>
        <w:t xml:space="preserve">A quantidade máxima a ser fornecida mensalmente, </w:t>
      </w:r>
      <w:r>
        <w:rPr>
          <w:rFonts w:hint="default"/>
          <w:lang w:val="pt-BR"/>
        </w:rPr>
        <w:t>se for o caso,</w:t>
      </w:r>
      <w:r>
        <w:t>sem prejuízo da possibilidade de pedidos em quantidade maior, caso o fornecedor tenha disponibilidade, é de 20% (vinte por cento) do quantitativo total registrado.</w:t>
      </w:r>
    </w:p>
    <w:p w14:paraId="1BF2542C">
      <w:pPr>
        <w:pStyle w:val="41"/>
        <w:numPr>
          <w:ilvl w:val="2"/>
          <w:numId w:val="19"/>
        </w:numPr>
        <w:tabs>
          <w:tab w:val="left" w:pos="0"/>
          <w:tab w:val="left" w:pos="720"/>
        </w:tabs>
        <w:spacing w:before="240" w:after="120" w:line="264" w:lineRule="auto"/>
        <w:ind w:left="4" w:leftChars="0" w:hanging="4" w:firstLineChars="0"/>
        <w:contextualSpacing/>
        <w:jc w:val="both"/>
        <w:rPr>
          <w:rFonts w:hint="default"/>
          <w:lang w:val="pt-BR"/>
        </w:rPr>
      </w:pPr>
      <w:r>
        <w:rPr>
          <w:rFonts w:hint="default"/>
          <w:lang w:val="pt-BR"/>
        </w:rPr>
        <w:t xml:space="preserve">As quantidades estimadas de fornecimento dos produtos é de acordo com a </w:t>
      </w:r>
      <w:r>
        <w:rPr>
          <w:color w:val="111111"/>
        </w:rPr>
        <w:t>Tabela com itens, quantidades e periodicidade para cada órgão</w:t>
      </w:r>
      <w:r>
        <w:rPr>
          <w:rFonts w:hint="default"/>
          <w:color w:val="111111"/>
          <w:lang w:val="pt-BR"/>
        </w:rPr>
        <w:t>, disposta no Anexo I - Especificação do Objeto.</w:t>
      </w:r>
    </w:p>
    <w:p w14:paraId="6E1121AD">
      <w:pPr>
        <w:pStyle w:val="41"/>
        <w:numPr>
          <w:ilvl w:val="1"/>
          <w:numId w:val="19"/>
        </w:numPr>
        <w:tabs>
          <w:tab w:val="left" w:pos="0"/>
          <w:tab w:val="left" w:pos="567"/>
          <w:tab w:val="left" w:pos="1843"/>
        </w:tabs>
        <w:spacing w:before="120" w:after="0" w:line="264" w:lineRule="auto"/>
        <w:ind w:left="0" w:firstLine="0"/>
        <w:contextualSpacing/>
        <w:jc w:val="both"/>
      </w:pPr>
      <w:r>
        <w:t>Durante a vigência da ata de registro de preços, poderá ser contratada quantidade inferior à quantidade registrada e, até mesmo, inexistir contratação.</w:t>
      </w:r>
    </w:p>
    <w:p w14:paraId="2B3502AF">
      <w:pPr>
        <w:pStyle w:val="41"/>
        <w:tabs>
          <w:tab w:val="left" w:pos="567"/>
          <w:tab w:val="left" w:pos="1843"/>
        </w:tabs>
        <w:spacing w:before="120" w:after="0" w:line="264" w:lineRule="auto"/>
        <w:ind w:left="0"/>
        <w:contextualSpacing/>
        <w:jc w:val="both"/>
      </w:pPr>
    </w:p>
    <w:p w14:paraId="28EF268A">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r>
        <w:rPr>
          <w:b/>
          <w:bCs/>
        </w:rPr>
        <w:t>CONVOCAÇÃO DOS FORNECEDORES PARA CONTRATAÇÃO</w:t>
      </w:r>
    </w:p>
    <w:p w14:paraId="59AF8AE0">
      <w:pPr>
        <w:pStyle w:val="41"/>
        <w:tabs>
          <w:tab w:val="left" w:pos="567"/>
          <w:tab w:val="left" w:pos="1843"/>
        </w:tabs>
        <w:spacing w:before="120" w:after="0" w:line="264" w:lineRule="auto"/>
        <w:ind w:left="0"/>
        <w:contextualSpacing/>
        <w:jc w:val="both"/>
      </w:pPr>
    </w:p>
    <w:p w14:paraId="075266DF">
      <w:pPr>
        <w:pStyle w:val="41"/>
        <w:numPr>
          <w:ilvl w:val="1"/>
          <w:numId w:val="19"/>
        </w:numPr>
        <w:tabs>
          <w:tab w:val="left" w:pos="0"/>
          <w:tab w:val="left" w:pos="567"/>
          <w:tab w:val="left" w:pos="1843"/>
        </w:tabs>
        <w:spacing w:before="120" w:after="0" w:line="264" w:lineRule="auto"/>
        <w:ind w:left="0" w:firstLine="0"/>
        <w:contextualSpacing/>
        <w:jc w:val="both"/>
      </w:pPr>
      <w:r>
        <w:t xml:space="preserve">Os fornecedores deverão assinar </w:t>
      </w:r>
      <w:r>
        <w:rPr>
          <w:lang w:val="pt-BR"/>
        </w:rPr>
        <w:t>a Ata de Registro de Preços</w:t>
      </w:r>
      <w:r>
        <w:t xml:space="preserve"> ou aceitar o instrumento equivalente em até 5 (cinco) dias após a convocação, que será feita por e-mail.</w:t>
      </w:r>
    </w:p>
    <w:p w14:paraId="54DE55CD">
      <w:pPr>
        <w:pStyle w:val="41"/>
        <w:numPr>
          <w:ilvl w:val="1"/>
          <w:numId w:val="19"/>
        </w:numPr>
        <w:tabs>
          <w:tab w:val="left" w:pos="0"/>
          <w:tab w:val="left" w:pos="567"/>
          <w:tab w:val="left" w:pos="1843"/>
        </w:tabs>
        <w:spacing w:before="120" w:after="0" w:line="264" w:lineRule="auto"/>
        <w:ind w:left="0" w:firstLine="0"/>
        <w:contextualSpacing/>
        <w:jc w:val="both"/>
      </w:pPr>
      <w:r>
        <w:t>O prazo de convocação poderá ser prorrogado por uma vez, excepcionalmente, quando solicitado dentro do prazo e mediante justificativa aceita pelo Município.</w:t>
      </w:r>
    </w:p>
    <w:p w14:paraId="69D14444">
      <w:pPr>
        <w:pStyle w:val="41"/>
        <w:numPr>
          <w:ilvl w:val="1"/>
          <w:numId w:val="19"/>
        </w:numPr>
        <w:tabs>
          <w:tab w:val="left" w:pos="0"/>
          <w:tab w:val="left" w:pos="567"/>
          <w:tab w:val="left" w:pos="1843"/>
        </w:tabs>
        <w:spacing w:before="120" w:after="0" w:line="264" w:lineRule="auto"/>
        <w:ind w:left="0" w:firstLine="0"/>
        <w:contextualSpacing/>
        <w:jc w:val="both"/>
      </w:pPr>
      <w:r>
        <w:t>As condições da contratação</w:t>
      </w:r>
      <w:r>
        <w:rPr>
          <w:rFonts w:hint="default"/>
          <w:lang w:val="pt-BR"/>
        </w:rPr>
        <w:t>, é conforme disposto em edital e anexos</w:t>
      </w:r>
      <w:r>
        <w:t xml:space="preserve"> ao processo de contratação.</w:t>
      </w:r>
    </w:p>
    <w:p w14:paraId="535B1AD5">
      <w:pPr>
        <w:pStyle w:val="41"/>
      </w:pPr>
    </w:p>
    <w:p w14:paraId="0CDB8600">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bookmarkStart w:id="8" w:name="_Ref111799662"/>
      <w:r>
        <w:rPr>
          <w:b/>
          <w:bCs/>
        </w:rPr>
        <w:t>POSSIBILIDADE DE ALTERAÇÃO DE PREÇOS</w:t>
      </w:r>
      <w:bookmarkEnd w:id="8"/>
      <w:r>
        <w:rPr>
          <w:b/>
          <w:bCs/>
        </w:rPr>
        <w:t xml:space="preserve"> </w:t>
      </w:r>
      <w:r>
        <w:rPr>
          <w:rFonts w:hint="default"/>
          <w:b/>
          <w:bCs/>
          <w:lang w:val="pt-BR"/>
        </w:rPr>
        <w:t xml:space="preserve"> E MARCA</w:t>
      </w:r>
    </w:p>
    <w:p w14:paraId="64086EA0">
      <w:pPr>
        <w:pStyle w:val="41"/>
        <w:tabs>
          <w:tab w:val="left" w:pos="567"/>
          <w:tab w:val="left" w:pos="1843"/>
        </w:tabs>
        <w:spacing w:before="120" w:after="0" w:line="264" w:lineRule="auto"/>
        <w:ind w:left="0"/>
        <w:contextualSpacing/>
        <w:jc w:val="both"/>
      </w:pPr>
    </w:p>
    <w:p w14:paraId="55EEE259">
      <w:pPr>
        <w:pStyle w:val="41"/>
        <w:numPr>
          <w:ilvl w:val="1"/>
          <w:numId w:val="19"/>
        </w:numPr>
        <w:tabs>
          <w:tab w:val="left" w:pos="0"/>
          <w:tab w:val="left" w:pos="567"/>
          <w:tab w:val="left" w:pos="1843"/>
        </w:tabs>
        <w:spacing w:before="120" w:after="0" w:line="264" w:lineRule="auto"/>
        <w:ind w:left="0" w:firstLine="0"/>
        <w:contextualSpacing/>
        <w:jc w:val="both"/>
      </w:pPr>
      <w:r>
        <w:t>Serão admitidas as solicitações de reajuste, reequilíbrio e repactuação do valor da ata de registro de preços, em procedimento idêntico ao praticado nos contratos administrativos, desde que fundamentados e acolhidos pela Diretoria Especial de Compras.</w:t>
      </w:r>
    </w:p>
    <w:p w14:paraId="1D768750">
      <w:pPr>
        <w:pStyle w:val="41"/>
        <w:numPr>
          <w:ilvl w:val="1"/>
          <w:numId w:val="19"/>
        </w:numPr>
        <w:tabs>
          <w:tab w:val="left" w:pos="0"/>
          <w:tab w:val="left" w:pos="567"/>
          <w:tab w:val="left" w:pos="1843"/>
        </w:tabs>
        <w:spacing w:before="120" w:after="0" w:line="264" w:lineRule="auto"/>
        <w:ind w:left="0" w:firstLine="0"/>
        <w:contextualSpacing/>
        <w:jc w:val="both"/>
        <w:rPr>
          <w:rStyle w:val="59"/>
          <w:rFonts w:hint="default" w:ascii="Arial" w:hAnsi="Arial" w:eastAsia="Segoe UI" w:cs="Arial"/>
          <w:i w:val="0"/>
          <w:iCs w:val="0"/>
          <w:caps w:val="0"/>
          <w:color w:val="000000"/>
          <w:spacing w:val="0"/>
          <w:sz w:val="24"/>
          <w:szCs w:val="24"/>
          <w:shd w:val="clear" w:fill="FFFFFF"/>
        </w:rPr>
      </w:pPr>
      <w:r>
        <w:t>A modificação do preço implicará na reclassificação, quando for o caso.</w:t>
      </w:r>
    </w:p>
    <w:p w14:paraId="4A5A48B8">
      <w:pPr>
        <w:pStyle w:val="41"/>
        <w:numPr>
          <w:ilvl w:val="1"/>
          <w:numId w:val="19"/>
        </w:numPr>
        <w:tabs>
          <w:tab w:val="left" w:pos="0"/>
          <w:tab w:val="left" w:pos="567"/>
          <w:tab w:val="left" w:pos="1843"/>
        </w:tabs>
        <w:spacing w:before="120" w:after="0" w:line="264" w:lineRule="auto"/>
        <w:ind w:left="0" w:firstLine="0"/>
        <w:contextualSpacing/>
        <w:jc w:val="both"/>
        <w:rPr>
          <w:rFonts w:hint="default"/>
          <w:sz w:val="22"/>
          <w:szCs w:val="22"/>
          <w:lang w:val="pt-BR"/>
        </w:rPr>
      </w:pPr>
      <w:r>
        <w:rPr>
          <w:rStyle w:val="59"/>
          <w:rFonts w:hint="default" w:ascii="Arial" w:hAnsi="Arial" w:eastAsia="Segoe UI" w:cs="Arial"/>
          <w:i w:val="0"/>
          <w:iCs w:val="0"/>
          <w:caps w:val="0"/>
          <w:color w:val="000000"/>
          <w:spacing w:val="0"/>
          <w:sz w:val="24"/>
          <w:szCs w:val="24"/>
          <w:shd w:val="clear" w:fill="FFFFFF"/>
          <w:lang w:val="pt-BR"/>
        </w:rPr>
        <w:t>S</w:t>
      </w:r>
      <w:r>
        <w:rPr>
          <w:rStyle w:val="59"/>
          <w:rFonts w:hint="default" w:ascii="Arial" w:hAnsi="Arial" w:eastAsia="Segoe UI" w:cs="Arial"/>
          <w:i w:val="0"/>
          <w:iCs w:val="0"/>
          <w:caps w:val="0"/>
          <w:color w:val="000000"/>
          <w:spacing w:val="0"/>
          <w:sz w:val="24"/>
          <w:szCs w:val="24"/>
          <w:shd w:val="clear" w:fill="FFFFFF"/>
        </w:rPr>
        <w:t xml:space="preserve">erá admitida a alteração da marca pelo fornecedor, sempre que a nova marca indicada cumprir os requisitos previstos em edital, e decorrente de motivo justificado superveniente à formulação da proposta. </w:t>
      </w:r>
    </w:p>
    <w:p w14:paraId="46856E51">
      <w:pPr>
        <w:pStyle w:val="41"/>
        <w:numPr>
          <w:ilvl w:val="1"/>
          <w:numId w:val="19"/>
        </w:numPr>
        <w:tabs>
          <w:tab w:val="left" w:pos="0"/>
          <w:tab w:val="left" w:pos="567"/>
          <w:tab w:val="left" w:pos="1843"/>
        </w:tabs>
        <w:spacing w:before="120" w:after="0" w:line="264" w:lineRule="auto"/>
        <w:ind w:left="0" w:firstLine="0"/>
        <w:contextualSpacing/>
        <w:jc w:val="both"/>
        <w:rPr>
          <w:rFonts w:hint="default"/>
          <w:sz w:val="22"/>
          <w:szCs w:val="22"/>
          <w:lang w:val="pt-BR"/>
        </w:rPr>
      </w:pPr>
      <w:r>
        <w:rPr>
          <w:rStyle w:val="59"/>
          <w:rFonts w:hint="default" w:ascii="Arial" w:hAnsi="Arial" w:eastAsia="Segoe UI" w:cs="Arial"/>
          <w:i w:val="0"/>
          <w:iCs w:val="0"/>
          <w:caps w:val="0"/>
          <w:color w:val="000000"/>
          <w:spacing w:val="0"/>
          <w:sz w:val="24"/>
          <w:szCs w:val="24"/>
          <w:shd w:val="clear" w:fill="FFFFFF"/>
        </w:rPr>
        <w:t xml:space="preserve"> </w:t>
      </w:r>
      <w:r>
        <w:rPr>
          <w:rStyle w:val="59"/>
          <w:rFonts w:hint="default" w:eastAsia="Segoe UI" w:cs="Arial"/>
          <w:i w:val="0"/>
          <w:iCs w:val="0"/>
          <w:caps w:val="0"/>
          <w:color w:val="000000"/>
          <w:spacing w:val="0"/>
          <w:sz w:val="24"/>
          <w:szCs w:val="24"/>
          <w:shd w:val="clear" w:fill="FFFFFF"/>
          <w:lang w:val="pt-BR"/>
        </w:rPr>
        <w:t>O</w:t>
      </w:r>
      <w:r>
        <w:rPr>
          <w:rStyle w:val="59"/>
          <w:rFonts w:hint="default" w:ascii="Arial" w:hAnsi="Arial" w:eastAsia="Segoe UI" w:cs="Arial"/>
          <w:i w:val="0"/>
          <w:iCs w:val="0"/>
          <w:caps w:val="0"/>
          <w:color w:val="000000"/>
          <w:spacing w:val="0"/>
          <w:sz w:val="24"/>
          <w:szCs w:val="24"/>
          <w:shd w:val="clear" w:fill="FFFFFF"/>
        </w:rPr>
        <w:t xml:space="preserve"> disposta  será válida para todos os contratos, inclusive aqueles não decorrentes de sistema de registro de preços, e aplicada também na etapa de julgamento das propostas na licitação e</w:t>
      </w:r>
      <w:r>
        <w:rPr>
          <w:rStyle w:val="59"/>
          <w:rFonts w:hint="default" w:ascii="Arial" w:hAnsi="Arial" w:eastAsia="Segoe UI" w:cs="Arial"/>
          <w:i w:val="0"/>
          <w:iCs w:val="0"/>
          <w:caps w:val="0"/>
          <w:color w:val="000000"/>
          <w:spacing w:val="0"/>
          <w:sz w:val="24"/>
          <w:szCs w:val="24"/>
          <w:shd w:val="clear" w:fill="FFFFFF"/>
          <w:lang w:val="pt-BR"/>
        </w:rPr>
        <w:t xml:space="preserve"> </w:t>
      </w:r>
      <w:r>
        <w:rPr>
          <w:rStyle w:val="59"/>
          <w:rFonts w:hint="default" w:ascii="Arial" w:hAnsi="Arial" w:eastAsia="Segoe UI" w:cs="Arial"/>
          <w:i w:val="0"/>
          <w:iCs w:val="0"/>
          <w:caps w:val="0"/>
          <w:color w:val="000000"/>
          <w:spacing w:val="0"/>
          <w:sz w:val="24"/>
          <w:szCs w:val="24"/>
          <w:shd w:val="clear" w:fill="FFFFFF"/>
        </w:rPr>
        <w:t>para os casos de substituição de subcontratados, de responsáveis técnicos e profissionais indicados na proposta do contratado.</w:t>
      </w:r>
    </w:p>
    <w:p w14:paraId="206D2A0B">
      <w:pPr>
        <w:pStyle w:val="41"/>
        <w:numPr>
          <w:ilvl w:val="0"/>
          <w:numId w:val="0"/>
        </w:numPr>
        <w:tabs>
          <w:tab w:val="left" w:pos="567"/>
          <w:tab w:val="left" w:pos="1843"/>
        </w:tabs>
        <w:spacing w:before="120" w:after="0" w:line="264" w:lineRule="auto"/>
        <w:ind w:leftChars="0"/>
        <w:contextualSpacing/>
        <w:jc w:val="both"/>
      </w:pPr>
    </w:p>
    <w:p w14:paraId="03D2ED42">
      <w:pPr>
        <w:pStyle w:val="41"/>
        <w:tabs>
          <w:tab w:val="left" w:pos="709"/>
          <w:tab w:val="left" w:pos="1843"/>
        </w:tabs>
        <w:spacing w:before="120" w:after="0" w:line="264" w:lineRule="auto"/>
        <w:ind w:left="0"/>
        <w:contextualSpacing/>
        <w:jc w:val="both"/>
        <w:rPr>
          <w:rFonts w:cs="Arial"/>
          <w:szCs w:val="24"/>
        </w:rPr>
      </w:pPr>
      <w:bookmarkStart w:id="9" w:name="_Hlk111808751"/>
      <w:bookmarkEnd w:id="9"/>
    </w:p>
    <w:p w14:paraId="38983C35">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r>
        <w:rPr>
          <w:b/>
          <w:bCs/>
        </w:rPr>
        <w:t>EXCLUSÃO DO FORNECEDOR DA ATA DE REGISTRO DE PREÇOS</w:t>
      </w:r>
    </w:p>
    <w:p w14:paraId="03CA0ED9">
      <w:pPr>
        <w:pStyle w:val="41"/>
        <w:tabs>
          <w:tab w:val="left" w:pos="709"/>
          <w:tab w:val="left" w:pos="1843"/>
        </w:tabs>
        <w:spacing w:before="120" w:after="0" w:line="264" w:lineRule="auto"/>
        <w:ind w:left="0"/>
        <w:contextualSpacing/>
        <w:jc w:val="both"/>
      </w:pPr>
    </w:p>
    <w:p w14:paraId="7870E21C">
      <w:pPr>
        <w:pStyle w:val="41"/>
        <w:numPr>
          <w:ilvl w:val="1"/>
          <w:numId w:val="19"/>
        </w:numPr>
        <w:tabs>
          <w:tab w:val="left" w:pos="0"/>
          <w:tab w:val="left" w:pos="709"/>
          <w:tab w:val="left" w:pos="1843"/>
        </w:tabs>
        <w:spacing w:before="120" w:after="0" w:line="264" w:lineRule="auto"/>
        <w:ind w:left="0" w:firstLine="0"/>
        <w:contextualSpacing/>
        <w:jc w:val="both"/>
      </w:pPr>
      <w:r>
        <w:t>O fornecedor poderá ser excluído desta ata de registro de preços quando:</w:t>
      </w:r>
    </w:p>
    <w:p w14:paraId="1D673357">
      <w:pPr>
        <w:pStyle w:val="41"/>
        <w:numPr>
          <w:ilvl w:val="2"/>
          <w:numId w:val="19"/>
        </w:numPr>
        <w:tabs>
          <w:tab w:val="left" w:pos="0"/>
          <w:tab w:val="left" w:pos="851"/>
          <w:tab w:val="left" w:pos="1843"/>
        </w:tabs>
        <w:spacing w:before="120" w:after="0" w:line="264" w:lineRule="auto"/>
        <w:ind w:left="0" w:firstLine="0"/>
        <w:contextualSpacing/>
        <w:jc w:val="both"/>
      </w:pPr>
      <w:r>
        <w:t>descumprir as condições da ata de registro de preços;</w:t>
      </w:r>
    </w:p>
    <w:p w14:paraId="4246A31D">
      <w:pPr>
        <w:pStyle w:val="41"/>
        <w:numPr>
          <w:ilvl w:val="2"/>
          <w:numId w:val="19"/>
        </w:numPr>
        <w:tabs>
          <w:tab w:val="left" w:pos="0"/>
          <w:tab w:val="left" w:pos="851"/>
          <w:tab w:val="left" w:pos="1843"/>
        </w:tabs>
        <w:spacing w:before="120" w:after="0" w:line="264" w:lineRule="auto"/>
        <w:ind w:left="0" w:firstLine="0"/>
        <w:contextualSpacing/>
        <w:jc w:val="both"/>
      </w:pPr>
      <w:r>
        <w:t>não assinar o contrato ou aceitar o instrumento equivalente no prazo estabelecido, sem justificativa aceita pelo órgão gerenciador;</w:t>
      </w:r>
    </w:p>
    <w:p w14:paraId="7F9FFF23">
      <w:pPr>
        <w:pStyle w:val="41"/>
        <w:numPr>
          <w:ilvl w:val="2"/>
          <w:numId w:val="19"/>
        </w:numPr>
        <w:tabs>
          <w:tab w:val="left" w:pos="0"/>
          <w:tab w:val="left" w:pos="851"/>
          <w:tab w:val="left" w:pos="1843"/>
        </w:tabs>
        <w:spacing w:before="120" w:after="0" w:line="264" w:lineRule="auto"/>
        <w:ind w:left="0" w:firstLine="0"/>
        <w:contextualSpacing/>
        <w:jc w:val="both"/>
      </w:pPr>
      <w:r>
        <w:t>sofrer as sanções de impedimento de licitar e contratar ou de declaração de inidoneidade para licitar ou contratar;</w:t>
      </w:r>
    </w:p>
    <w:p w14:paraId="71C82E29">
      <w:pPr>
        <w:pStyle w:val="41"/>
        <w:numPr>
          <w:ilvl w:val="2"/>
          <w:numId w:val="19"/>
        </w:numPr>
        <w:tabs>
          <w:tab w:val="left" w:pos="0"/>
          <w:tab w:val="left" w:pos="851"/>
          <w:tab w:val="left" w:pos="1843"/>
        </w:tabs>
        <w:spacing w:before="120" w:after="0" w:line="264" w:lineRule="auto"/>
        <w:ind w:left="0" w:firstLine="0"/>
        <w:contextualSpacing/>
        <w:jc w:val="both"/>
      </w:pPr>
      <w:r>
        <w:t>ocorrer fato superveniente, decorrente de caso fortuito ou força maior, que prejudique o cumprimento da ata de registro de preços, devidamente comprovado e justificado;</w:t>
      </w:r>
    </w:p>
    <w:p w14:paraId="72525545">
      <w:pPr>
        <w:pStyle w:val="41"/>
        <w:numPr>
          <w:ilvl w:val="2"/>
          <w:numId w:val="19"/>
        </w:numPr>
        <w:tabs>
          <w:tab w:val="left" w:pos="0"/>
          <w:tab w:val="left" w:pos="851"/>
          <w:tab w:val="left" w:pos="1843"/>
        </w:tabs>
        <w:spacing w:before="120" w:after="0" w:line="264" w:lineRule="auto"/>
        <w:ind w:left="0" w:firstLine="0"/>
        <w:contextualSpacing/>
        <w:jc w:val="both"/>
      </w:pPr>
      <w:r>
        <w:t>houver razão de interesse público, devidamente justificada, ou</w:t>
      </w:r>
    </w:p>
    <w:p w14:paraId="4C127994">
      <w:pPr>
        <w:pStyle w:val="41"/>
        <w:numPr>
          <w:ilvl w:val="1"/>
          <w:numId w:val="19"/>
        </w:numPr>
        <w:tabs>
          <w:tab w:val="left" w:pos="0"/>
          <w:tab w:val="left" w:pos="709"/>
          <w:tab w:val="left" w:pos="1843"/>
        </w:tabs>
        <w:spacing w:before="120" w:after="0" w:line="264" w:lineRule="auto"/>
        <w:ind w:left="0" w:firstLine="0"/>
        <w:contextualSpacing/>
        <w:jc w:val="both"/>
      </w:pPr>
      <w:r>
        <w:t>A exclusão do fornecedor será formalizada por despacho fundamentado do Secretário Municipal de Fazenda e terá efeito após a divulgação no sítio eletrônico oficial, sendo dispensada a divulgação por outros meios.</w:t>
      </w:r>
    </w:p>
    <w:p w14:paraId="445766E8">
      <w:pPr>
        <w:pStyle w:val="41"/>
        <w:tabs>
          <w:tab w:val="left" w:pos="709"/>
          <w:tab w:val="left" w:pos="1843"/>
        </w:tabs>
        <w:spacing w:before="120" w:after="0" w:line="264" w:lineRule="auto"/>
        <w:ind w:left="0"/>
        <w:contextualSpacing/>
        <w:jc w:val="both"/>
      </w:pPr>
    </w:p>
    <w:p w14:paraId="2769D47E">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r>
        <w:rPr>
          <w:b/>
          <w:bCs/>
        </w:rPr>
        <w:t>SANÇÕES APLICADAS NA ATA DE REGISTRO DE PREÇOS</w:t>
      </w:r>
    </w:p>
    <w:p w14:paraId="6AC20BB9">
      <w:pPr>
        <w:pStyle w:val="41"/>
        <w:numPr>
          <w:ilvl w:val="1"/>
          <w:numId w:val="19"/>
        </w:numPr>
        <w:tabs>
          <w:tab w:val="left" w:pos="0"/>
        </w:tabs>
        <w:spacing w:before="0" w:after="0"/>
        <w:ind w:left="0" w:firstLine="0"/>
        <w:contextualSpacing/>
        <w:jc w:val="both"/>
        <w:rPr>
          <w:rFonts w:cs="Arial"/>
          <w:color w:val="000000"/>
          <w:szCs w:val="24"/>
        </w:rPr>
      </w:pPr>
      <w:r>
        <w:rPr>
          <w:rFonts w:cs="Arial"/>
          <w:color w:val="000000"/>
          <w:szCs w:val="24"/>
        </w:rPr>
        <w:t xml:space="preserve">As infrações praticadas pelo licitante serão sancionáveis de acordo com sua gravidade, respeitado o contraditório e a ampla defesa, seguindo o rito processual detalhado no link: </w:t>
      </w:r>
      <w:r>
        <w:fldChar w:fldCharType="begin"/>
      </w:r>
      <w:r>
        <w:instrText xml:space="preserve"> HYPERLINK "https://docs.google.com/document/d/e/2PACX-1vSnb-iDZC2BD4dl7FvB81HuMLxb_WAFj1hu-EDmzSG2aBQLaA3jaz_U4OwoxEu8FZtYtNBLRMo6q8md/pub" \h </w:instrText>
      </w:r>
      <w:r>
        <w:fldChar w:fldCharType="separate"/>
      </w:r>
      <w:r>
        <w:rPr>
          <w:rStyle w:val="15"/>
          <w:rFonts w:cs="Arial"/>
          <w:szCs w:val="24"/>
        </w:rPr>
        <w:t>Processo sancionatório</w:t>
      </w:r>
      <w:r>
        <w:rPr>
          <w:rStyle w:val="15"/>
          <w:rFonts w:cs="Arial"/>
          <w:szCs w:val="24"/>
        </w:rPr>
        <w:fldChar w:fldCharType="end"/>
      </w:r>
      <w:r>
        <w:rPr>
          <w:rFonts w:cs="Arial"/>
          <w:color w:val="000000"/>
          <w:szCs w:val="24"/>
        </w:rPr>
        <w:t>.</w:t>
      </w:r>
    </w:p>
    <w:p w14:paraId="4145C9CE">
      <w:pPr>
        <w:pStyle w:val="41"/>
        <w:numPr>
          <w:ilvl w:val="1"/>
          <w:numId w:val="19"/>
        </w:numPr>
        <w:tabs>
          <w:tab w:val="left" w:pos="0"/>
        </w:tabs>
        <w:spacing w:before="0" w:after="0"/>
        <w:ind w:left="0" w:firstLine="0"/>
        <w:contextualSpacing/>
        <w:jc w:val="both"/>
        <w:rPr>
          <w:rFonts w:cs="Arial"/>
          <w:color w:val="000000"/>
          <w:szCs w:val="24"/>
        </w:rPr>
      </w:pPr>
      <w:r>
        <w:t>O signatário com a proposta mais vantajosa que não assinar o contrato ou aceitar o instrumento equivalente estará sujeito a multa de 20% (vinte por cento) do valor do pedido e exclusão do registro da Ata.</w:t>
      </w:r>
    </w:p>
    <w:p w14:paraId="408F38FA">
      <w:pPr>
        <w:pStyle w:val="41"/>
        <w:numPr>
          <w:ilvl w:val="1"/>
          <w:numId w:val="19"/>
        </w:numPr>
        <w:tabs>
          <w:tab w:val="left" w:pos="0"/>
        </w:tabs>
        <w:spacing w:before="0" w:after="0"/>
        <w:ind w:left="0" w:firstLine="0"/>
        <w:contextualSpacing/>
        <w:jc w:val="both"/>
        <w:rPr>
          <w:rFonts w:cs="Arial"/>
          <w:color w:val="000000"/>
          <w:szCs w:val="24"/>
        </w:rPr>
      </w:pPr>
      <w:r>
        <w:rPr>
          <w:rFonts w:cs="Arial"/>
          <w:color w:val="000000"/>
          <w:szCs w:val="24"/>
        </w:rPr>
        <w:t xml:space="preserve">Ao licitante infrator poderá ser aplicada penalidade de impedimento de licitar e contratar, nos termos da tabela: </w:t>
      </w:r>
    </w:p>
    <w:tbl>
      <w:tblPr>
        <w:tblStyle w:val="27"/>
        <w:tblW w:w="921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38"/>
        <w:gridCol w:w="3402"/>
        <w:gridCol w:w="1674"/>
      </w:tblGrid>
      <w:tr w14:paraId="07F0A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6900CF72">
            <w:pPr>
              <w:widowControl/>
              <w:suppressAutoHyphens/>
              <w:spacing w:before="0" w:after="0" w:line="312" w:lineRule="auto"/>
              <w:jc w:val="center"/>
              <w:rPr>
                <w:rFonts w:eastAsiaTheme="minorHAnsi"/>
                <w:b/>
                <w:bCs/>
                <w:sz w:val="16"/>
                <w:szCs w:val="16"/>
              </w:rPr>
            </w:pPr>
            <w:r>
              <w:rPr>
                <w:rFonts w:eastAsiaTheme="minorHAnsi"/>
                <w:b/>
                <w:bCs/>
                <w:kern w:val="0"/>
                <w:sz w:val="16"/>
                <w:szCs w:val="16"/>
              </w:rPr>
              <w:t>INFRAÇÃO COMETIDA</w:t>
            </w:r>
          </w:p>
        </w:tc>
        <w:tc>
          <w:tcPr>
            <w:tcW w:w="3402" w:type="dxa"/>
            <w:vAlign w:val="center"/>
          </w:tcPr>
          <w:p w14:paraId="754C1194">
            <w:pPr>
              <w:widowControl/>
              <w:suppressAutoHyphens/>
              <w:spacing w:before="0" w:after="0" w:line="312" w:lineRule="auto"/>
              <w:jc w:val="center"/>
              <w:rPr>
                <w:rFonts w:eastAsiaTheme="minorHAnsi"/>
                <w:b/>
                <w:bCs/>
                <w:sz w:val="16"/>
                <w:szCs w:val="16"/>
              </w:rPr>
            </w:pPr>
            <w:r>
              <w:rPr>
                <w:rFonts w:eastAsiaTheme="minorHAnsi"/>
                <w:b/>
                <w:bCs/>
                <w:kern w:val="0"/>
                <w:sz w:val="16"/>
                <w:szCs w:val="16"/>
              </w:rPr>
              <w:t>PENALIDADE</w:t>
            </w:r>
          </w:p>
        </w:tc>
        <w:tc>
          <w:tcPr>
            <w:tcW w:w="1674" w:type="dxa"/>
            <w:vAlign w:val="center"/>
          </w:tcPr>
          <w:p w14:paraId="65ADB6FD">
            <w:pPr>
              <w:widowControl/>
              <w:suppressAutoHyphens/>
              <w:spacing w:before="0" w:after="0" w:line="312" w:lineRule="auto"/>
              <w:jc w:val="center"/>
              <w:rPr>
                <w:rFonts w:eastAsiaTheme="minorHAnsi"/>
                <w:b/>
                <w:bCs/>
                <w:sz w:val="16"/>
                <w:szCs w:val="16"/>
              </w:rPr>
            </w:pPr>
            <w:r>
              <w:rPr>
                <w:rFonts w:eastAsiaTheme="minorHAnsi"/>
                <w:b/>
                <w:bCs/>
                <w:kern w:val="0"/>
                <w:sz w:val="16"/>
                <w:szCs w:val="16"/>
              </w:rPr>
              <w:t>PRAZO</w:t>
            </w:r>
          </w:p>
        </w:tc>
      </w:tr>
      <w:tr w14:paraId="06287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721DE143">
            <w:pPr>
              <w:widowControl/>
              <w:suppressAutoHyphens/>
              <w:spacing w:before="0" w:after="0" w:line="312" w:lineRule="auto"/>
              <w:jc w:val="both"/>
              <w:rPr>
                <w:rFonts w:eastAsiaTheme="minorHAnsi"/>
                <w:color w:val="000000"/>
                <w:sz w:val="16"/>
                <w:szCs w:val="16"/>
              </w:rPr>
            </w:pPr>
            <w:r>
              <w:rPr>
                <w:rFonts w:eastAsiaTheme="minorHAnsi"/>
                <w:kern w:val="0"/>
                <w:sz w:val="16"/>
                <w:szCs w:val="16"/>
              </w:rPr>
              <w:t>Não celebrar o contrato ou não entregar a documentação exigida para a contratação, quando convocado dentro do prazo de validade da ata</w:t>
            </w:r>
          </w:p>
        </w:tc>
        <w:tc>
          <w:tcPr>
            <w:tcW w:w="3402" w:type="dxa"/>
            <w:vAlign w:val="center"/>
          </w:tcPr>
          <w:p w14:paraId="13B84074">
            <w:pPr>
              <w:widowControl/>
              <w:suppressAutoHyphens/>
              <w:spacing w:before="0" w:after="0" w:line="312" w:lineRule="auto"/>
              <w:jc w:val="center"/>
              <w:rPr>
                <w:rFonts w:eastAsiaTheme="minorHAnsi"/>
                <w:sz w:val="16"/>
                <w:szCs w:val="16"/>
              </w:rPr>
            </w:pPr>
            <w:r>
              <w:rPr>
                <w:rFonts w:eastAsiaTheme="minorHAnsi"/>
                <w:kern w:val="0"/>
                <w:sz w:val="16"/>
                <w:szCs w:val="16"/>
              </w:rPr>
              <w:t>Impedimento de licitar ou contratar com o município de Paranavaí</w:t>
            </w:r>
          </w:p>
        </w:tc>
        <w:tc>
          <w:tcPr>
            <w:tcW w:w="1674" w:type="dxa"/>
            <w:vAlign w:val="center"/>
          </w:tcPr>
          <w:p w14:paraId="013D71B0">
            <w:pPr>
              <w:widowControl/>
              <w:suppressAutoHyphens/>
              <w:spacing w:before="0" w:after="0" w:line="312" w:lineRule="auto"/>
              <w:jc w:val="center"/>
              <w:rPr>
                <w:rFonts w:eastAsiaTheme="minorHAnsi"/>
                <w:sz w:val="16"/>
                <w:szCs w:val="16"/>
              </w:rPr>
            </w:pPr>
            <w:r>
              <w:rPr>
                <w:rFonts w:eastAsiaTheme="minorHAnsi"/>
                <w:kern w:val="0"/>
                <w:sz w:val="16"/>
                <w:szCs w:val="16"/>
              </w:rPr>
              <w:t>12 meses</w:t>
            </w:r>
          </w:p>
        </w:tc>
      </w:tr>
      <w:tr w14:paraId="49655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0477BFC9">
            <w:pPr>
              <w:widowControl/>
              <w:suppressAutoHyphens/>
              <w:spacing w:before="0" w:after="0" w:line="312" w:lineRule="auto"/>
              <w:jc w:val="both"/>
              <w:rPr>
                <w:rFonts w:eastAsiaTheme="minorHAnsi"/>
                <w:sz w:val="16"/>
                <w:szCs w:val="16"/>
              </w:rPr>
            </w:pPr>
            <w:r>
              <w:rPr>
                <w:rFonts w:eastAsiaTheme="minorHAnsi"/>
                <w:kern w:val="0"/>
                <w:sz w:val="16"/>
                <w:szCs w:val="16"/>
              </w:rPr>
              <w:t>Apresentar declaração ou documentação falsa exigida para a contratação</w:t>
            </w:r>
          </w:p>
        </w:tc>
        <w:tc>
          <w:tcPr>
            <w:tcW w:w="3402" w:type="dxa"/>
            <w:vAlign w:val="center"/>
          </w:tcPr>
          <w:p w14:paraId="1DE6C300">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6A3BB0AE">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r w14:paraId="33D1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59D4D1B6">
            <w:pPr>
              <w:widowControl/>
              <w:suppressAutoHyphens/>
              <w:spacing w:before="0" w:after="0" w:line="312" w:lineRule="auto"/>
              <w:jc w:val="both"/>
              <w:rPr>
                <w:rFonts w:eastAsiaTheme="minorHAnsi"/>
                <w:sz w:val="16"/>
                <w:szCs w:val="16"/>
              </w:rPr>
            </w:pPr>
            <w:r>
              <w:rPr>
                <w:rFonts w:eastAsiaTheme="minorHAnsi"/>
                <w:kern w:val="0"/>
                <w:sz w:val="16"/>
                <w:szCs w:val="16"/>
              </w:rPr>
              <w:t>Comportar-se de modo inidôneo ou cometer fraude de qualquer natureza</w:t>
            </w:r>
          </w:p>
        </w:tc>
        <w:tc>
          <w:tcPr>
            <w:tcW w:w="3402" w:type="dxa"/>
            <w:vAlign w:val="center"/>
          </w:tcPr>
          <w:p w14:paraId="42357D65">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5A514292">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r w14:paraId="37B8F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0A7BB78C">
            <w:pPr>
              <w:widowControl/>
              <w:suppressAutoHyphens/>
              <w:spacing w:before="0" w:after="0" w:line="312" w:lineRule="auto"/>
              <w:jc w:val="both"/>
              <w:rPr>
                <w:rFonts w:eastAsiaTheme="minorHAnsi"/>
                <w:sz w:val="16"/>
                <w:szCs w:val="16"/>
              </w:rPr>
            </w:pPr>
            <w:r>
              <w:rPr>
                <w:rFonts w:eastAsiaTheme="minorHAnsi"/>
                <w:kern w:val="0"/>
                <w:sz w:val="16"/>
                <w:szCs w:val="16"/>
              </w:rPr>
              <w:t>Praticar atos ilícitos com vistas a frustrar os objetivos da Ata de Registro de Preços</w:t>
            </w:r>
          </w:p>
        </w:tc>
        <w:tc>
          <w:tcPr>
            <w:tcW w:w="3402" w:type="dxa"/>
            <w:vAlign w:val="center"/>
          </w:tcPr>
          <w:p w14:paraId="3AC329F4">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39213925">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r w14:paraId="23F73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8" w:type="dxa"/>
            <w:vAlign w:val="center"/>
          </w:tcPr>
          <w:p w14:paraId="593041F5">
            <w:pPr>
              <w:widowControl/>
              <w:suppressAutoHyphens/>
              <w:spacing w:before="0" w:after="0" w:line="312" w:lineRule="auto"/>
              <w:jc w:val="both"/>
              <w:rPr>
                <w:rFonts w:eastAsiaTheme="minorHAnsi"/>
                <w:sz w:val="16"/>
                <w:szCs w:val="16"/>
              </w:rPr>
            </w:pPr>
            <w:r>
              <w:rPr>
                <w:rFonts w:eastAsiaTheme="minorHAnsi"/>
                <w:kern w:val="0"/>
                <w:sz w:val="16"/>
                <w:szCs w:val="16"/>
              </w:rPr>
              <w:t>Praticar ato lesivo previsto no art. 5º da Lei nº 12.846, de 1º de agosto de 2013</w:t>
            </w:r>
          </w:p>
        </w:tc>
        <w:tc>
          <w:tcPr>
            <w:tcW w:w="3402" w:type="dxa"/>
            <w:vAlign w:val="center"/>
          </w:tcPr>
          <w:p w14:paraId="1B0CE4A3">
            <w:pPr>
              <w:widowControl/>
              <w:suppressAutoHyphens/>
              <w:spacing w:before="0" w:after="0" w:line="312" w:lineRule="auto"/>
              <w:jc w:val="center"/>
              <w:rPr>
                <w:rFonts w:eastAsiaTheme="minorHAnsi"/>
                <w:sz w:val="16"/>
                <w:szCs w:val="16"/>
              </w:rPr>
            </w:pPr>
            <w:r>
              <w:rPr>
                <w:rFonts w:eastAsiaTheme="minorHAnsi"/>
                <w:kern w:val="0"/>
                <w:sz w:val="16"/>
                <w:szCs w:val="16"/>
              </w:rPr>
              <w:t>Declaração de Inidoneidade para licitar ou contratar com todos os entes federativos</w:t>
            </w:r>
          </w:p>
        </w:tc>
        <w:tc>
          <w:tcPr>
            <w:tcW w:w="1674" w:type="dxa"/>
            <w:vAlign w:val="center"/>
          </w:tcPr>
          <w:p w14:paraId="1C0B770D">
            <w:pPr>
              <w:widowControl/>
              <w:suppressAutoHyphens/>
              <w:spacing w:before="0" w:after="0" w:line="312" w:lineRule="auto"/>
              <w:jc w:val="center"/>
              <w:rPr>
                <w:rFonts w:eastAsiaTheme="minorHAnsi"/>
                <w:sz w:val="16"/>
                <w:szCs w:val="16"/>
              </w:rPr>
            </w:pPr>
            <w:r>
              <w:rPr>
                <w:rFonts w:eastAsiaTheme="minorHAnsi"/>
                <w:kern w:val="0"/>
                <w:sz w:val="16"/>
                <w:szCs w:val="16"/>
              </w:rPr>
              <w:t>4 anos e 6 meses</w:t>
            </w:r>
          </w:p>
        </w:tc>
      </w:tr>
    </w:tbl>
    <w:p w14:paraId="6E6ACA57">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jc w:val="both"/>
        <w:rPr>
          <w:b/>
          <w:bCs/>
        </w:rPr>
      </w:pPr>
      <w:r>
        <w:rPr>
          <w:b/>
          <w:bCs/>
        </w:rPr>
        <w:t>ADESÕES</w:t>
      </w:r>
    </w:p>
    <w:p w14:paraId="64923C59">
      <w:pPr>
        <w:keepNext w:val="0"/>
        <w:keepLines w:val="0"/>
        <w:widowControl/>
        <w:numPr>
          <w:ilvl w:val="1"/>
          <w:numId w:val="19"/>
        </w:numPr>
        <w:suppressLineNumbers w:val="0"/>
        <w:tabs>
          <w:tab w:val="left" w:pos="0"/>
        </w:tabs>
        <w:ind w:left="0" w:leftChars="0" w:firstLine="0" w:firstLineChars="0"/>
        <w:jc w:val="both"/>
      </w:pPr>
      <w:r>
        <w:rPr>
          <w:rFonts w:hint="default" w:ascii="Arial" w:hAnsi="Arial" w:cs="Arial"/>
          <w:sz w:val="24"/>
          <w:szCs w:val="24"/>
        </w:rPr>
        <w:t>Não será permitida a adesão a atas de registro de preços do município de Paranavaí por órgãos e entidades de outros municípios</w:t>
      </w:r>
      <w:r>
        <w:rPr>
          <w:rFonts w:hint="default" w:ascii="Arial" w:hAnsi="Arial" w:cs="Arial"/>
          <w:sz w:val="24"/>
          <w:szCs w:val="24"/>
          <w:lang w:val="pt-BR"/>
        </w:rPr>
        <w:t xml:space="preserve">, conforme previsto no art.128, </w:t>
      </w:r>
      <w:r>
        <w:rPr>
          <w:rFonts w:hint="default" w:ascii="Arial" w:hAnsi="Arial" w:eastAsia="Arial-BoldMT" w:cs="Arial"/>
          <w:b w:val="0"/>
          <w:bCs w:val="0"/>
          <w:color w:val="000000"/>
          <w:kern w:val="0"/>
          <w:sz w:val="24"/>
          <w:szCs w:val="24"/>
          <w:lang w:val="en-US" w:eastAsia="zh-CN" w:bidi="ar"/>
        </w:rPr>
        <w:t>§ 1º</w:t>
      </w:r>
      <w:r>
        <w:rPr>
          <w:rFonts w:hint="default" w:ascii="Arial" w:hAnsi="Arial" w:eastAsia="Arial-BoldMT" w:cs="Arial"/>
          <w:b w:val="0"/>
          <w:bCs w:val="0"/>
          <w:color w:val="000000"/>
          <w:kern w:val="0"/>
          <w:sz w:val="24"/>
          <w:szCs w:val="24"/>
          <w:lang w:val="pt-BR" w:eastAsia="zh-CN" w:bidi="ar"/>
        </w:rPr>
        <w:t xml:space="preserve"> do decreto municipal 24.731/2023.</w:t>
      </w:r>
    </w:p>
    <w:p w14:paraId="457562C2">
      <w:pPr>
        <w:pStyle w:val="41"/>
        <w:numPr>
          <w:ilvl w:val="0"/>
          <w:numId w:val="0"/>
        </w:numPr>
        <w:tabs>
          <w:tab w:val="left" w:pos="709"/>
          <w:tab w:val="left" w:pos="1843"/>
        </w:tabs>
        <w:spacing w:before="120" w:after="0" w:line="264" w:lineRule="auto"/>
        <w:ind w:leftChars="0"/>
        <w:contextualSpacing/>
        <w:jc w:val="both"/>
      </w:pPr>
    </w:p>
    <w:p w14:paraId="632804F0">
      <w:pPr>
        <w:pStyle w:val="41"/>
        <w:numPr>
          <w:ilvl w:val="0"/>
          <w:numId w:val="0"/>
        </w:numPr>
        <w:pBdr>
          <w:bottom w:val="single" w:color="auto" w:sz="12" w:space="0"/>
        </w:pBdr>
        <w:tabs>
          <w:tab w:val="left" w:pos="709"/>
          <w:tab w:val="left" w:pos="1843"/>
        </w:tabs>
        <w:spacing w:before="120" w:after="0" w:line="264" w:lineRule="auto"/>
        <w:ind w:leftChars="0"/>
        <w:contextualSpacing/>
        <w:jc w:val="both"/>
        <w:rPr>
          <w:rFonts w:hint="default" w:ascii="Arial" w:hAnsi="Arial" w:eastAsia="SimSun" w:cs="Arial"/>
          <w:color w:val="000000"/>
          <w:kern w:val="0"/>
          <w:sz w:val="24"/>
          <w:szCs w:val="24"/>
          <w:lang w:val="pt-BR" w:eastAsia="zh-CN" w:bidi="ar"/>
        </w:rPr>
      </w:pPr>
      <w:r>
        <w:rPr>
          <w:rFonts w:hint="default"/>
          <w:b/>
          <w:bCs/>
          <w:lang w:val="pt-BR"/>
        </w:rPr>
        <w:t>CLÁUSULA 13ª:</w:t>
      </w:r>
      <w:r>
        <w:rPr>
          <w:rFonts w:hint="default" w:ascii="Arial" w:hAnsi="Arial" w:eastAsia="SimSun" w:cs="Arial"/>
          <w:b/>
          <w:bCs/>
          <w:color w:val="000000"/>
          <w:kern w:val="0"/>
          <w:sz w:val="24"/>
          <w:szCs w:val="24"/>
          <w:lang w:val="pt-BR" w:eastAsia="zh-CN" w:bidi="ar"/>
        </w:rPr>
        <w:t xml:space="preserve"> CADASTRO RESERVA</w:t>
      </w:r>
      <w:r>
        <w:rPr>
          <w:rFonts w:hint="default" w:eastAsia="SimSun" w:cs="Arial"/>
          <w:b/>
          <w:bCs/>
          <w:color w:val="000000"/>
          <w:kern w:val="0"/>
          <w:sz w:val="24"/>
          <w:szCs w:val="24"/>
          <w:lang w:val="pt-BR" w:eastAsia="zh-CN" w:bidi="ar"/>
        </w:rPr>
        <w:t xml:space="preserve"> - REMANESCENTES</w:t>
      </w:r>
    </w:p>
    <w:p w14:paraId="5A16C9EA">
      <w:pPr>
        <w:jc w:val="both"/>
        <w:rPr>
          <w:rFonts w:hint="default" w:ascii="Arial" w:hAnsi="Arial" w:eastAsia="SimSun" w:cs="Arial"/>
          <w:sz w:val="24"/>
          <w:szCs w:val="24"/>
          <w:lang w:val="pt-BR"/>
        </w:rPr>
      </w:pPr>
      <w:r>
        <w:rPr>
          <w:rFonts w:hint="default" w:ascii="Arial" w:hAnsi="Arial" w:eastAsia="SimSun" w:cs="Arial"/>
          <w:color w:val="000000"/>
          <w:kern w:val="0"/>
          <w:sz w:val="24"/>
          <w:szCs w:val="24"/>
          <w:lang w:val="pt-BR" w:eastAsia="zh-CN" w:bidi="ar"/>
        </w:rPr>
        <w:t>1</w:t>
      </w:r>
      <w:r>
        <w:rPr>
          <w:rFonts w:hint="default" w:eastAsia="SimSun" w:cs="Arial"/>
          <w:color w:val="000000"/>
          <w:kern w:val="0"/>
          <w:sz w:val="24"/>
          <w:szCs w:val="24"/>
          <w:lang w:val="pt-BR" w:eastAsia="zh-CN" w:bidi="ar"/>
        </w:rPr>
        <w:t>3</w:t>
      </w:r>
      <w:r>
        <w:rPr>
          <w:rFonts w:hint="default" w:ascii="Arial" w:hAnsi="Arial" w:eastAsia="SimSun" w:cs="Arial"/>
          <w:color w:val="000000"/>
          <w:kern w:val="0"/>
          <w:sz w:val="24"/>
          <w:szCs w:val="24"/>
          <w:lang w:val="pt-BR" w:eastAsia="zh-CN" w:bidi="ar"/>
        </w:rPr>
        <w:t>.1.</w:t>
      </w:r>
      <w:r>
        <w:rPr>
          <w:rFonts w:hint="default" w:eastAsia="SimSun" w:cs="Arial"/>
          <w:color w:val="000000"/>
          <w:kern w:val="0"/>
          <w:sz w:val="24"/>
          <w:szCs w:val="24"/>
          <w:lang w:val="pt-BR" w:eastAsia="zh-CN" w:bidi="ar"/>
        </w:rPr>
        <w:t xml:space="preserve"> </w:t>
      </w:r>
      <w:r>
        <w:rPr>
          <w:rFonts w:hint="default" w:ascii="Arial" w:hAnsi="Arial" w:eastAsia="SimSun" w:cs="Arial"/>
          <w:color w:val="000000"/>
          <w:kern w:val="0"/>
          <w:sz w:val="24"/>
          <w:szCs w:val="24"/>
          <w:lang w:val="pt-BR" w:eastAsia="zh-CN" w:bidi="ar"/>
        </w:rPr>
        <w:t xml:space="preserve"> </w:t>
      </w:r>
      <w:r>
        <w:rPr>
          <w:rFonts w:hint="default" w:eastAsia="SimSun" w:cs="Arial"/>
          <w:color w:val="000000"/>
          <w:kern w:val="0"/>
          <w:sz w:val="24"/>
          <w:szCs w:val="24"/>
          <w:lang w:val="pt-BR" w:eastAsia="zh-CN" w:bidi="ar"/>
        </w:rPr>
        <w:t>S</w:t>
      </w:r>
      <w:r>
        <w:rPr>
          <w:rFonts w:hint="default" w:ascii="Arial" w:hAnsi="Arial" w:eastAsia="SimSun" w:cs="Arial"/>
          <w:sz w:val="24"/>
          <w:szCs w:val="24"/>
        </w:rPr>
        <w:t>erá respeitada, nas contratações, a ordem de classificação dos licitantes ou dos fornecedores registrados na ata</w:t>
      </w:r>
      <w:r>
        <w:rPr>
          <w:rFonts w:hint="default" w:ascii="Arial" w:hAnsi="Arial" w:eastAsia="SimSun" w:cs="Arial"/>
          <w:sz w:val="24"/>
          <w:szCs w:val="24"/>
          <w:lang w:val="pt-BR"/>
        </w:rPr>
        <w:t>.</w:t>
      </w:r>
    </w:p>
    <w:p w14:paraId="349CD24F">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13</w:t>
      </w:r>
      <w:r>
        <w:rPr>
          <w:rFonts w:hint="default" w:ascii="Arial" w:hAnsi="Arial" w:eastAsia="SimSun" w:cs="Arial"/>
          <w:sz w:val="24"/>
          <w:szCs w:val="24"/>
          <w:lang w:val="pt-BR"/>
        </w:rPr>
        <w:t>.2.</w:t>
      </w:r>
      <w:r>
        <w:rPr>
          <w:rFonts w:hint="default" w:ascii="Arial" w:hAnsi="Arial" w:eastAsia="SimSun" w:cs="Arial"/>
          <w:sz w:val="24"/>
          <w:szCs w:val="24"/>
        </w:rPr>
        <w:t>O registro a que se refere o item anterior, tem por objetivo a formação de cadastro de reserva para o caso de impossibilidade de atendimento pelo signatário da ata.</w:t>
      </w:r>
    </w:p>
    <w:p w14:paraId="199A7479">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13</w:t>
      </w:r>
      <w:r>
        <w:rPr>
          <w:rFonts w:hint="default" w:ascii="Arial" w:hAnsi="Arial" w:eastAsia="SimSun" w:cs="Arial"/>
          <w:sz w:val="24"/>
          <w:szCs w:val="24"/>
          <w:lang w:val="pt-BR"/>
        </w:rPr>
        <w:t>.3.</w:t>
      </w:r>
      <w:r>
        <w:rPr>
          <w:rFonts w:hint="default" w:ascii="Arial" w:hAnsi="Arial" w:eastAsia="SimSun" w:cs="Arial"/>
          <w:sz w:val="24"/>
          <w:szCs w:val="24"/>
        </w:rPr>
        <w:t xml:space="preserve">Para fins da ordem de classificação, os licitantes ou fornecedores que aceitarem reduzir suas propostas para o preço do adjudicatário antecederão aqueles que mantiverem sua proposta original. </w:t>
      </w:r>
    </w:p>
    <w:p w14:paraId="2B5C5104">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eastAsia="Bookman Old Style" w:cs="Arial"/>
          <w:i w:val="0"/>
          <w:iCs w:val="0"/>
          <w:caps w:val="0"/>
          <w:color w:val="000000"/>
          <w:spacing w:val="0"/>
          <w:sz w:val="24"/>
          <w:szCs w:val="24"/>
          <w:shd w:val="clear" w:fill="FFFFFF"/>
          <w:lang w:val="pt-BR"/>
        </w:rPr>
      </w:pPr>
      <w:r>
        <w:rPr>
          <w:rFonts w:hint="default" w:eastAsia="SimSun" w:cs="Arial"/>
          <w:sz w:val="24"/>
          <w:szCs w:val="24"/>
          <w:lang w:val="pt-BR"/>
        </w:rPr>
        <w:t>13</w:t>
      </w:r>
      <w:r>
        <w:rPr>
          <w:rFonts w:hint="default" w:ascii="Arial" w:hAnsi="Arial" w:eastAsia="SimSun" w:cs="Arial"/>
          <w:sz w:val="24"/>
          <w:szCs w:val="24"/>
          <w:lang w:val="pt-BR"/>
        </w:rPr>
        <w:t>.4.</w:t>
      </w:r>
      <w:r>
        <w:rPr>
          <w:rFonts w:hint="default" w:ascii="Arial" w:hAnsi="Arial" w:eastAsia="SimSun" w:cs="Arial"/>
          <w:sz w:val="24"/>
          <w:szCs w:val="24"/>
        </w:rPr>
        <w:t xml:space="preserve"> </w:t>
      </w:r>
      <w:r>
        <w:rPr>
          <w:rFonts w:hint="default" w:eastAsia="SimSun" w:cs="Arial"/>
          <w:sz w:val="24"/>
          <w:szCs w:val="24"/>
          <w:lang w:val="pt-BR"/>
        </w:rPr>
        <w:t>O</w:t>
      </w:r>
      <w:r>
        <w:rPr>
          <w:rFonts w:hint="default" w:ascii="Arial" w:hAnsi="Arial" w:eastAsia="Bookman Old Style" w:cs="Arial"/>
          <w:i w:val="0"/>
          <w:iCs w:val="0"/>
          <w:caps w:val="0"/>
          <w:color w:val="000000"/>
          <w:spacing w:val="0"/>
          <w:sz w:val="24"/>
          <w:szCs w:val="24"/>
          <w:shd w:val="clear" w:fill="FFFFFF"/>
        </w:rPr>
        <w:t>s licitantes que desejarem ter seus preços registrados na ata de registro de preços</w:t>
      </w:r>
      <w:r>
        <w:rPr>
          <w:rFonts w:hint="default" w:eastAsia="Bookman Old Style" w:cs="Arial"/>
          <w:i w:val="0"/>
          <w:iCs w:val="0"/>
          <w:caps w:val="0"/>
          <w:color w:val="000000"/>
          <w:spacing w:val="0"/>
          <w:sz w:val="24"/>
          <w:szCs w:val="24"/>
          <w:shd w:val="clear" w:fill="FFFFFF"/>
          <w:lang w:val="pt-BR"/>
        </w:rPr>
        <w:t xml:space="preserve"> deverão se manifestar em sessão  e terão </w:t>
      </w:r>
      <w:r>
        <w:rPr>
          <w:rFonts w:hint="default" w:ascii="Arial" w:hAnsi="Arial" w:eastAsia="Bookman Old Style" w:cs="Arial"/>
          <w:i w:val="0"/>
          <w:iCs w:val="0"/>
          <w:caps w:val="0"/>
          <w:color w:val="000000"/>
          <w:spacing w:val="0"/>
          <w:sz w:val="24"/>
          <w:szCs w:val="24"/>
          <w:shd w:val="clear" w:fill="FFFFFF"/>
        </w:rPr>
        <w:t xml:space="preserve"> sua proposta</w:t>
      </w:r>
      <w:r>
        <w:rPr>
          <w:rFonts w:hint="default" w:eastAsia="Bookman Old Style" w:cs="Arial"/>
          <w:i w:val="0"/>
          <w:iCs w:val="0"/>
          <w:caps w:val="0"/>
          <w:color w:val="000000"/>
          <w:spacing w:val="0"/>
          <w:sz w:val="24"/>
          <w:szCs w:val="24"/>
          <w:shd w:val="clear" w:fill="FFFFFF"/>
          <w:lang w:val="pt-BR"/>
        </w:rPr>
        <w:t xml:space="preserve">  </w:t>
      </w:r>
      <w:r>
        <w:rPr>
          <w:rFonts w:hint="default" w:ascii="Arial" w:hAnsi="Arial" w:eastAsia="Bookman Old Style" w:cs="Arial"/>
          <w:i w:val="0"/>
          <w:iCs w:val="0"/>
          <w:caps w:val="0"/>
          <w:color w:val="000000"/>
          <w:spacing w:val="0"/>
          <w:sz w:val="24"/>
          <w:szCs w:val="24"/>
          <w:shd w:val="clear" w:fill="FFFFFF"/>
        </w:rPr>
        <w:t xml:space="preserve"> e habilitação</w:t>
      </w:r>
      <w:r>
        <w:rPr>
          <w:rFonts w:hint="default" w:eastAsia="Bookman Old Style" w:cs="Arial"/>
          <w:i w:val="0"/>
          <w:iCs w:val="0"/>
          <w:caps w:val="0"/>
          <w:color w:val="000000"/>
          <w:spacing w:val="0"/>
          <w:sz w:val="24"/>
          <w:szCs w:val="24"/>
          <w:shd w:val="clear" w:fill="FFFFFF"/>
          <w:lang w:val="pt-BR"/>
        </w:rPr>
        <w:t xml:space="preserve"> Jurídica, fiscal e trabalhista, analisadas previamente,via SICAF, sendo analisada na integra os documentos para comprovação de habilitação, quando </w:t>
      </w:r>
      <w:r>
        <w:rPr>
          <w:rFonts w:hint="default" w:eastAsia="Bookman Old Style"/>
          <w:i w:val="0"/>
          <w:iCs w:val="0"/>
          <w:caps w:val="0"/>
          <w:color w:val="000000" w:themeColor="text1"/>
          <w:spacing w:val="0"/>
          <w:sz w:val="24"/>
          <w:szCs w:val="24"/>
          <w:shd w:val="clear" w:fill="FFFFFF"/>
          <w:lang w:val="pt-BR"/>
          <w14:textFill>
            <w14:solidFill>
              <w14:schemeClr w14:val="tx1"/>
            </w14:solidFill>
          </w14:textFill>
        </w:rPr>
        <w:t>necessidade de contratação dos licitantes remanescentes</w:t>
      </w:r>
      <w:r>
        <w:rPr>
          <w:rFonts w:hint="default" w:eastAsia="Bookman Old Style"/>
          <w:i w:val="0"/>
          <w:iCs w:val="0"/>
          <w:caps w:val="0"/>
          <w:color w:val="0000FF"/>
          <w:spacing w:val="0"/>
          <w:sz w:val="24"/>
          <w:szCs w:val="24"/>
          <w:shd w:val="clear" w:fill="FFFFFF"/>
          <w:lang w:val="pt-BR"/>
        </w:rPr>
        <w:t xml:space="preserve"> </w:t>
      </w:r>
      <w:r>
        <w:rPr>
          <w:rFonts w:hint="default" w:eastAsia="Bookman Old Style" w:cs="Arial"/>
          <w:i w:val="0"/>
          <w:iCs w:val="0"/>
          <w:caps w:val="0"/>
          <w:color w:val="000000"/>
          <w:spacing w:val="0"/>
          <w:sz w:val="24"/>
          <w:szCs w:val="24"/>
          <w:shd w:val="clear" w:fill="FFFFFF"/>
          <w:lang w:val="pt-BR"/>
        </w:rPr>
        <w:t>.</w:t>
      </w:r>
    </w:p>
    <w:p w14:paraId="6714C4BF">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13.5.</w:t>
      </w:r>
      <w:r>
        <w:rPr>
          <w:rFonts w:hint="default" w:ascii="Arial" w:hAnsi="Arial" w:eastAsia="SimSun" w:cs="Arial"/>
          <w:sz w:val="24"/>
          <w:szCs w:val="24"/>
        </w:rPr>
        <w:t xml:space="preserve">Quando o convocado não assinar a ata de registro de preços no prazo e nas condições estabelecidos no edital ou no aviso de contratação, fica facultado ao </w:t>
      </w:r>
      <w:r>
        <w:rPr>
          <w:rFonts w:hint="default" w:ascii="Arial" w:hAnsi="Arial" w:eastAsia="SimSun" w:cs="Arial"/>
          <w:sz w:val="24"/>
          <w:szCs w:val="24"/>
          <w:lang w:val="pt-BR"/>
        </w:rPr>
        <w:t>Município de Paranavaí</w:t>
      </w:r>
      <w:r>
        <w:rPr>
          <w:rFonts w:hint="default" w:ascii="Arial" w:hAnsi="Arial" w:eastAsia="SimSun" w:cs="Arial"/>
          <w:sz w:val="24"/>
          <w:szCs w:val="24"/>
        </w:rPr>
        <w:t xml:space="preserve"> convocar os licitantes remanescentes do cadastro de reserva, na ordem de classificação, para fazê-lo em igual prazo e nas condições propostas pelo primeiro classificado.</w:t>
      </w:r>
    </w:p>
    <w:p w14:paraId="5C5082E2">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13</w:t>
      </w:r>
      <w:r>
        <w:rPr>
          <w:rFonts w:hint="default" w:ascii="Arial" w:hAnsi="Arial" w:eastAsia="SimSun" w:cs="Arial"/>
          <w:sz w:val="24"/>
          <w:szCs w:val="24"/>
          <w:lang w:val="pt-BR"/>
        </w:rPr>
        <w:t>.</w:t>
      </w:r>
      <w:r>
        <w:rPr>
          <w:rFonts w:hint="default" w:eastAsia="SimSun" w:cs="Arial"/>
          <w:sz w:val="24"/>
          <w:szCs w:val="24"/>
          <w:lang w:val="pt-BR"/>
        </w:rPr>
        <w:t>6</w:t>
      </w:r>
      <w:r>
        <w:rPr>
          <w:rFonts w:hint="default" w:ascii="Arial" w:hAnsi="Arial" w:eastAsia="SimSun" w:cs="Arial"/>
          <w:sz w:val="24"/>
          <w:szCs w:val="24"/>
          <w:lang w:val="pt-BR"/>
        </w:rPr>
        <w:t>.</w:t>
      </w:r>
      <w:r>
        <w:rPr>
          <w:rFonts w:hint="default" w:ascii="Arial" w:hAnsi="Arial" w:eastAsia="SimSun" w:cs="Arial"/>
          <w:sz w:val="24"/>
          <w:szCs w:val="24"/>
        </w:rPr>
        <w:t xml:space="preserve"> Na hipótese de nenhum dos licitantes aceitar a contratação nos termos do item anterior, o </w:t>
      </w:r>
      <w:r>
        <w:rPr>
          <w:rFonts w:hint="default" w:ascii="Arial" w:hAnsi="Arial" w:eastAsia="SimSun" w:cs="Arial"/>
          <w:sz w:val="24"/>
          <w:szCs w:val="24"/>
          <w:lang w:val="pt-BR"/>
        </w:rPr>
        <w:t>Município</w:t>
      </w:r>
      <w:r>
        <w:rPr>
          <w:rFonts w:hint="default" w:ascii="Arial" w:hAnsi="Arial" w:eastAsia="SimSun" w:cs="Arial"/>
          <w:sz w:val="24"/>
          <w:szCs w:val="24"/>
        </w:rPr>
        <w:t xml:space="preserve">, observados o valor estimado e sua eventual atualização nos termos do edital poderá: </w:t>
      </w:r>
    </w:p>
    <w:p w14:paraId="579EA84B">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ascii="Arial" w:hAnsi="Arial" w:eastAsia="SimSun" w:cs="Arial"/>
          <w:sz w:val="24"/>
          <w:szCs w:val="24"/>
        </w:rPr>
      </w:pPr>
      <w:r>
        <w:rPr>
          <w:rFonts w:hint="default" w:eastAsia="SimSun" w:cs="Arial"/>
          <w:sz w:val="24"/>
          <w:szCs w:val="24"/>
          <w:lang w:val="pt-BR"/>
        </w:rPr>
        <w:t>12</w:t>
      </w:r>
      <w:r>
        <w:rPr>
          <w:rFonts w:hint="default" w:ascii="Arial" w:hAnsi="Arial" w:eastAsia="SimSun" w:cs="Arial"/>
          <w:sz w:val="24"/>
          <w:szCs w:val="24"/>
          <w:lang w:val="pt-BR"/>
        </w:rPr>
        <w:t>.</w:t>
      </w:r>
      <w:r>
        <w:rPr>
          <w:rFonts w:hint="default" w:eastAsia="SimSun" w:cs="Arial"/>
          <w:sz w:val="24"/>
          <w:szCs w:val="24"/>
          <w:lang w:val="pt-BR"/>
        </w:rPr>
        <w:t>6</w:t>
      </w:r>
      <w:r>
        <w:rPr>
          <w:rFonts w:hint="default" w:ascii="Arial" w:hAnsi="Arial" w:eastAsia="SimSun" w:cs="Arial"/>
          <w:sz w:val="24"/>
          <w:szCs w:val="24"/>
        </w:rPr>
        <w:t>.1. Convocar para negociação os demais licitantes ou fornecedores remanescentes cujos preços foram registrados sem redução, observada a ordem de classificação, com vistas à obtenção de preço melhor, mesmo que acima do preço do adjudicatário; ou</w:t>
      </w:r>
    </w:p>
    <w:p w14:paraId="50D98A75">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eastAsia="SimSun" w:cs="Arial"/>
          <w:sz w:val="24"/>
          <w:szCs w:val="24"/>
          <w:lang w:val="pt-BR"/>
        </w:rPr>
      </w:pPr>
      <w:r>
        <w:rPr>
          <w:rFonts w:hint="default" w:eastAsia="SimSun" w:cs="Arial"/>
          <w:sz w:val="24"/>
          <w:szCs w:val="24"/>
          <w:lang w:val="pt-BR"/>
        </w:rPr>
        <w:t>13</w:t>
      </w:r>
      <w:r>
        <w:rPr>
          <w:rFonts w:hint="default" w:ascii="Arial" w:hAnsi="Arial" w:eastAsia="SimSun" w:cs="Arial"/>
          <w:sz w:val="24"/>
          <w:szCs w:val="24"/>
          <w:lang w:val="pt-BR"/>
        </w:rPr>
        <w:t>.</w:t>
      </w:r>
      <w:r>
        <w:rPr>
          <w:rFonts w:hint="default" w:eastAsia="SimSun" w:cs="Arial"/>
          <w:sz w:val="24"/>
          <w:szCs w:val="24"/>
          <w:lang w:val="pt-BR"/>
        </w:rPr>
        <w:t>6</w:t>
      </w:r>
      <w:r>
        <w:rPr>
          <w:rFonts w:hint="default" w:ascii="Arial" w:hAnsi="Arial" w:eastAsia="SimSun" w:cs="Arial"/>
          <w:sz w:val="24"/>
          <w:szCs w:val="24"/>
          <w:lang w:val="pt-BR"/>
        </w:rPr>
        <w:t>.2</w:t>
      </w:r>
      <w:r>
        <w:rPr>
          <w:rFonts w:hint="default" w:ascii="Arial" w:hAnsi="Arial" w:eastAsia="SimSun" w:cs="Arial"/>
          <w:sz w:val="24"/>
          <w:szCs w:val="24"/>
        </w:rPr>
        <w:t xml:space="preserve">.Adjudicar e firmar </w:t>
      </w:r>
      <w:r>
        <w:rPr>
          <w:rFonts w:hint="default" w:eastAsia="SimSun" w:cs="Arial"/>
          <w:sz w:val="24"/>
          <w:szCs w:val="24"/>
          <w:lang w:val="pt-BR"/>
        </w:rPr>
        <w:t>a</w:t>
      </w:r>
      <w:r>
        <w:rPr>
          <w:rFonts w:hint="default" w:ascii="Arial" w:hAnsi="Arial" w:eastAsia="SimSun" w:cs="Arial"/>
          <w:sz w:val="24"/>
          <w:szCs w:val="24"/>
        </w:rPr>
        <w:t xml:space="preserve"> ARP nas condições ofertadas pelos licitantes ou fornecedores remanescentes, atendida a ordem classificatória, quando frustrada a negociação de melhor condição</w:t>
      </w:r>
      <w:r>
        <w:rPr>
          <w:rFonts w:hint="default" w:eastAsia="SimSun" w:cs="Arial"/>
          <w:sz w:val="24"/>
          <w:szCs w:val="24"/>
          <w:lang w:val="pt-BR"/>
        </w:rPr>
        <w:t>.</w:t>
      </w:r>
    </w:p>
    <w:p w14:paraId="548D4F10">
      <w:pPr>
        <w:keepNext w:val="0"/>
        <w:keepLines w:val="0"/>
        <w:pageBreakBefore w:val="0"/>
        <w:widowControl/>
        <w:suppressLineNumbers w:val="0"/>
        <w:kinsoku/>
        <w:wordWrap/>
        <w:overflowPunct/>
        <w:topLinePunct w:val="0"/>
        <w:autoSpaceDE/>
        <w:autoSpaceDN/>
        <w:bidi w:val="0"/>
        <w:adjustRightInd/>
        <w:snapToGrid/>
        <w:spacing w:line="300" w:lineRule="auto"/>
        <w:jc w:val="both"/>
        <w:textAlignment w:val="auto"/>
        <w:rPr>
          <w:rFonts w:hint="default" w:eastAsia="SimSun" w:cs="Arial"/>
          <w:sz w:val="24"/>
          <w:szCs w:val="24"/>
          <w:lang w:val="pt-BR"/>
        </w:rPr>
      </w:pPr>
      <w:r>
        <w:rPr>
          <w:rFonts w:hint="default" w:eastAsia="SimSun" w:cs="Arial"/>
          <w:sz w:val="24"/>
          <w:szCs w:val="24"/>
          <w:lang w:val="pt-BR"/>
        </w:rPr>
        <w:t>13.7. Será comunicado e registrado na sessão , se não houver manifestação de fornecedores interessados em registrar os preços na Ata de Registro de Preços ou se não houver fornecedores aptos .</w:t>
      </w:r>
    </w:p>
    <w:p w14:paraId="51F070E3">
      <w:pPr>
        <w:keepNext w:val="0"/>
        <w:keepLines w:val="0"/>
        <w:widowControl/>
        <w:suppressLineNumbers w:val="0"/>
        <w:jc w:val="both"/>
        <w:rPr>
          <w:rFonts w:hint="default" w:ascii="Arial" w:hAnsi="Arial" w:eastAsia="SimSun" w:cs="Arial"/>
          <w:color w:val="000000"/>
          <w:kern w:val="0"/>
          <w:sz w:val="24"/>
          <w:szCs w:val="24"/>
          <w:lang w:val="pt-BR" w:eastAsia="zh-CN" w:bidi="ar"/>
        </w:rPr>
      </w:pPr>
      <w:r>
        <w:rPr>
          <w:rFonts w:hint="default" w:eastAsia="SimSun" w:cs="Arial"/>
          <w:sz w:val="24"/>
          <w:szCs w:val="24"/>
          <w:lang w:val="pt-BR"/>
        </w:rPr>
        <w:t>13</w:t>
      </w:r>
      <w:r>
        <w:rPr>
          <w:rFonts w:hint="default" w:ascii="Arial" w:hAnsi="Arial" w:eastAsia="SimSun" w:cs="Arial"/>
          <w:sz w:val="24"/>
          <w:szCs w:val="24"/>
          <w:lang w:val="pt-BR"/>
        </w:rPr>
        <w:t>.</w:t>
      </w:r>
      <w:r>
        <w:rPr>
          <w:rFonts w:hint="default" w:eastAsia="SimSun" w:cs="Arial"/>
          <w:sz w:val="24"/>
          <w:szCs w:val="24"/>
          <w:lang w:val="pt-BR"/>
        </w:rPr>
        <w:t>8</w:t>
      </w:r>
      <w:r>
        <w:rPr>
          <w:rFonts w:hint="default" w:ascii="Arial" w:hAnsi="Arial" w:eastAsia="SimSun" w:cs="Arial"/>
          <w:sz w:val="24"/>
          <w:szCs w:val="24"/>
          <w:lang w:val="pt-BR"/>
        </w:rPr>
        <w:t>.</w:t>
      </w:r>
      <w:r>
        <w:rPr>
          <w:rFonts w:hint="default" w:ascii="Arial" w:hAnsi="Arial" w:eastAsia="SimSun" w:cs="Arial"/>
          <w:sz w:val="24"/>
          <w:szCs w:val="24"/>
        </w:rPr>
        <w:t>O</w:t>
      </w:r>
      <w:r>
        <w:rPr>
          <w:rFonts w:hint="default" w:ascii="Arial" w:hAnsi="Arial" w:eastAsia="SimSun" w:cs="Arial"/>
          <w:sz w:val="24"/>
          <w:szCs w:val="24"/>
          <w:lang w:val="pt-BR"/>
        </w:rPr>
        <w:t>s</w:t>
      </w:r>
      <w:r>
        <w:rPr>
          <w:rFonts w:hint="default" w:ascii="Arial" w:hAnsi="Arial" w:eastAsia="SimSun" w:cs="Arial"/>
          <w:sz w:val="24"/>
          <w:szCs w:val="24"/>
        </w:rPr>
        <w:t xml:space="preserve"> preço</w:t>
      </w:r>
      <w:r>
        <w:rPr>
          <w:rFonts w:hint="default" w:ascii="Arial" w:hAnsi="Arial" w:eastAsia="SimSun" w:cs="Arial"/>
          <w:sz w:val="24"/>
          <w:szCs w:val="24"/>
          <w:lang w:val="pt-BR"/>
        </w:rPr>
        <w:t>s</w:t>
      </w:r>
      <w:r>
        <w:rPr>
          <w:rFonts w:hint="default" w:ascii="Arial" w:hAnsi="Arial" w:eastAsia="SimSun" w:cs="Arial"/>
          <w:sz w:val="24"/>
          <w:szCs w:val="24"/>
        </w:rPr>
        <w:t xml:space="preserve"> registrado</w:t>
      </w:r>
      <w:r>
        <w:rPr>
          <w:rFonts w:hint="default" w:ascii="Arial" w:hAnsi="Arial" w:eastAsia="SimSun" w:cs="Arial"/>
          <w:sz w:val="24"/>
          <w:szCs w:val="24"/>
          <w:lang w:val="pt-BR"/>
        </w:rPr>
        <w:t>s</w:t>
      </w:r>
      <w:r>
        <w:rPr>
          <w:rFonts w:hint="default" w:ascii="Arial" w:hAnsi="Arial" w:eastAsia="SimSun" w:cs="Arial"/>
          <w:sz w:val="24"/>
          <w:szCs w:val="24"/>
        </w:rPr>
        <w:t xml:space="preserve"> com indicação dos licitantes e fornecedores será divulgado no PNCP e ficará disponibilizado durante a vigência da ata de registro de preços</w:t>
      </w:r>
    </w:p>
    <w:p w14:paraId="364485E4">
      <w:pPr>
        <w:keepNext w:val="0"/>
        <w:keepLines w:val="0"/>
        <w:widowControl/>
        <w:suppressLineNumbers w:val="0"/>
        <w:jc w:val="both"/>
        <w:rPr>
          <w:rFonts w:hint="default" w:ascii="Arial" w:hAnsi="Arial" w:eastAsia="SimSun" w:cs="Arial"/>
          <w:color w:val="000000"/>
          <w:kern w:val="0"/>
          <w:sz w:val="24"/>
          <w:szCs w:val="24"/>
          <w:lang w:val="pt-BR" w:eastAsia="zh-CN" w:bidi="ar"/>
        </w:rPr>
      </w:pPr>
    </w:p>
    <w:p w14:paraId="6D3B40C0">
      <w:pPr>
        <w:spacing w:before="120" w:after="0" w:line="264" w:lineRule="auto"/>
        <w:jc w:val="center"/>
        <w:rPr>
          <w:color w:val="000000"/>
        </w:rPr>
      </w:pPr>
      <w:r>
        <w:rPr>
          <w:rFonts w:hint="default"/>
          <w:color w:val="000000"/>
          <w:lang w:val="pt-BR"/>
        </w:rPr>
        <w:t>P</w:t>
      </w:r>
      <w:r>
        <w:rPr>
          <w:color w:val="000000"/>
        </w:rPr>
        <w:t>aranavaí – PR, ...... de ........ de .......</w:t>
      </w:r>
    </w:p>
    <w:p w14:paraId="3B15F0D9">
      <w:pPr>
        <w:pStyle w:val="41"/>
        <w:tabs>
          <w:tab w:val="left" w:pos="709"/>
        </w:tabs>
        <w:spacing w:before="0" w:after="0" w:line="240" w:lineRule="auto"/>
        <w:ind w:left="0"/>
        <w:contextualSpacing/>
        <w:jc w:val="center"/>
      </w:pPr>
      <w:r>
        <w:rPr>
          <w:color w:val="000000"/>
        </w:rPr>
        <w:t>Município de Paranavaí</w:t>
      </w:r>
      <w:r>
        <w:rPr>
          <w:color w:val="000000"/>
        </w:rPr>
        <w:br w:type="textWrapping"/>
      </w:r>
      <w:r>
        <w:t>Secretário Municipal ordenador ou responsável pela entidade</w:t>
      </w:r>
    </w:p>
    <w:p w14:paraId="3ECBA2C4">
      <w:pPr>
        <w:spacing w:before="120" w:after="0" w:line="264" w:lineRule="auto"/>
        <w:rPr>
          <w:b/>
          <w:bCs/>
          <w:color w:val="000000"/>
        </w:rPr>
      </w:pPr>
      <w:r>
        <w:rPr>
          <w:b/>
          <w:bCs/>
          <w:color w:val="000000"/>
        </w:rPr>
        <w:t>Fornecedores:</w:t>
      </w:r>
    </w:p>
    <w:p w14:paraId="7C44BE07">
      <w:pPr>
        <w:spacing w:line="264" w:lineRule="auto"/>
        <w:rPr>
          <w:color w:val="000000"/>
        </w:rPr>
      </w:pPr>
      <w:r>
        <w:rPr>
          <w:color w:val="000000"/>
        </w:rPr>
        <w:t>Empresa:</w:t>
      </w:r>
    </w:p>
    <w:p w14:paraId="4DC5A1C0">
      <w:pPr>
        <w:spacing w:before="0" w:after="0" w:line="264" w:lineRule="auto"/>
        <w:rPr>
          <w:color w:val="000000"/>
        </w:rPr>
      </w:pPr>
      <w:r>
        <w:rPr>
          <w:color w:val="000000"/>
        </w:rPr>
        <w:t>CNPJ:</w:t>
      </w:r>
    </w:p>
    <w:p w14:paraId="69A2868D">
      <w:pPr>
        <w:spacing w:before="0" w:after="0" w:line="264" w:lineRule="auto"/>
        <w:rPr>
          <w:color w:val="000000"/>
        </w:rPr>
      </w:pPr>
      <w:r>
        <w:rPr>
          <w:color w:val="000000"/>
        </w:rPr>
        <w:t>Endereço:</w:t>
      </w:r>
    </w:p>
    <w:p w14:paraId="7161C158">
      <w:pPr>
        <w:spacing w:before="0" w:after="0" w:line="264" w:lineRule="auto"/>
        <w:rPr>
          <w:color w:val="000000"/>
        </w:rPr>
      </w:pPr>
      <w:r>
        <w:rPr>
          <w:color w:val="000000"/>
        </w:rPr>
        <w:t>Nome do Representante</w:t>
      </w:r>
    </w:p>
    <w:p w14:paraId="470AA464">
      <w:pPr>
        <w:spacing w:before="0" w:after="0" w:line="264" w:lineRule="auto"/>
        <w:rPr>
          <w:color w:val="000000"/>
        </w:rPr>
      </w:pPr>
      <w:r>
        <w:rPr>
          <w:color w:val="000000"/>
        </w:rPr>
        <w:t>CPF: :</w:t>
      </w:r>
      <w:r>
        <w:t xml:space="preserve"> </w:t>
      </w:r>
      <w:r>
        <w:tab/>
      </w:r>
      <w:r>
        <w:tab/>
      </w:r>
      <w:r>
        <w:tab/>
      </w:r>
      <w:r>
        <w:tab/>
      </w:r>
      <w:r>
        <w:tab/>
      </w:r>
      <w:r>
        <w:t>Assinatura:</w:t>
      </w:r>
    </w:p>
    <w:p w14:paraId="46D06DE4">
      <w:pPr>
        <w:spacing w:line="264" w:lineRule="auto"/>
        <w:rPr>
          <w:color w:val="000000"/>
        </w:rPr>
      </w:pPr>
      <w:r>
        <w:rPr>
          <w:color w:val="000000"/>
        </w:rPr>
        <w:t>Empresa:</w:t>
      </w:r>
    </w:p>
    <w:p w14:paraId="7BFCF3B3">
      <w:pPr>
        <w:spacing w:before="0" w:after="0" w:line="264" w:lineRule="auto"/>
        <w:rPr>
          <w:color w:val="000000"/>
        </w:rPr>
      </w:pPr>
      <w:r>
        <w:rPr>
          <w:color w:val="000000"/>
        </w:rPr>
        <w:t>CNPJ:</w:t>
      </w:r>
    </w:p>
    <w:p w14:paraId="579B9F24">
      <w:pPr>
        <w:spacing w:before="0" w:after="0" w:line="264" w:lineRule="auto"/>
        <w:rPr>
          <w:color w:val="000000"/>
        </w:rPr>
      </w:pPr>
      <w:r>
        <w:rPr>
          <w:color w:val="000000"/>
        </w:rPr>
        <w:t>Endereço:</w:t>
      </w:r>
    </w:p>
    <w:p w14:paraId="3DA8D771">
      <w:pPr>
        <w:spacing w:before="0" w:after="0" w:line="264" w:lineRule="auto"/>
        <w:rPr>
          <w:color w:val="000000"/>
        </w:rPr>
      </w:pPr>
      <w:r>
        <w:rPr>
          <w:color w:val="000000"/>
        </w:rPr>
        <w:t>Nome do Representante</w:t>
      </w:r>
    </w:p>
    <w:p w14:paraId="6B145A41">
      <w:pPr>
        <w:spacing w:before="0" w:after="0" w:line="264" w:lineRule="auto"/>
      </w:pPr>
      <w:r>
        <w:rPr>
          <w:color w:val="000000"/>
        </w:rPr>
        <w:t>CPF: :</w:t>
      </w:r>
      <w:r>
        <w:t xml:space="preserve"> </w:t>
      </w:r>
      <w:r>
        <w:tab/>
      </w:r>
      <w:r>
        <w:tab/>
      </w:r>
      <w:r>
        <w:tab/>
      </w:r>
      <w:r>
        <w:tab/>
      </w:r>
      <w:r>
        <w:tab/>
      </w:r>
      <w:r>
        <w:t>Assinatura:</w:t>
      </w:r>
    </w:p>
    <w:p w14:paraId="44DF4497">
      <w:pPr>
        <w:spacing w:before="0" w:after="0" w:line="264" w:lineRule="auto"/>
      </w:pPr>
    </w:p>
    <w:p w14:paraId="5B798C2D">
      <w:pPr>
        <w:spacing w:before="0" w:after="0" w:line="264" w:lineRule="auto"/>
      </w:pPr>
    </w:p>
    <w:p w14:paraId="091EC744">
      <w:pPr>
        <w:spacing w:before="0" w:after="0" w:line="264" w:lineRule="auto"/>
      </w:pPr>
    </w:p>
    <w:p w14:paraId="15B28E35">
      <w:pPr>
        <w:spacing w:before="0" w:after="0" w:line="264" w:lineRule="auto"/>
      </w:pPr>
    </w:p>
    <w:p w14:paraId="5906647E">
      <w:pPr>
        <w:spacing w:before="0" w:after="0" w:line="264" w:lineRule="auto"/>
      </w:pPr>
    </w:p>
    <w:p w14:paraId="166B50D7">
      <w:pPr>
        <w:spacing w:before="0" w:after="0" w:line="264" w:lineRule="auto"/>
      </w:pPr>
    </w:p>
    <w:p w14:paraId="28BB6001">
      <w:pPr>
        <w:spacing w:before="0" w:after="0" w:line="264" w:lineRule="auto"/>
      </w:pPr>
    </w:p>
    <w:p w14:paraId="14FFD889">
      <w:pPr>
        <w:spacing w:before="0" w:after="0" w:line="264" w:lineRule="auto"/>
      </w:pPr>
    </w:p>
    <w:p w14:paraId="3C9A2CAC">
      <w:pPr>
        <w:spacing w:before="0" w:after="0" w:line="264" w:lineRule="auto"/>
      </w:pPr>
    </w:p>
    <w:p w14:paraId="0766C147">
      <w:pPr>
        <w:spacing w:before="0" w:after="0" w:line="264" w:lineRule="auto"/>
      </w:pPr>
    </w:p>
    <w:p w14:paraId="4B7E0E02">
      <w:pPr>
        <w:spacing w:before="0" w:after="0" w:line="264" w:lineRule="auto"/>
      </w:pPr>
    </w:p>
    <w:p w14:paraId="72D244AC">
      <w:pPr>
        <w:spacing w:before="0" w:after="0" w:line="264" w:lineRule="auto"/>
      </w:pPr>
    </w:p>
    <w:p w14:paraId="1C92490B">
      <w:pPr>
        <w:spacing w:before="0" w:after="0" w:line="264" w:lineRule="auto"/>
      </w:pPr>
    </w:p>
    <w:p w14:paraId="480FDA70">
      <w:pPr>
        <w:spacing w:before="0" w:after="0" w:line="264" w:lineRule="auto"/>
        <w:jc w:val="center"/>
        <w:rPr>
          <w:rFonts w:hint="default"/>
          <w:b/>
          <w:bCs/>
          <w:sz w:val="28"/>
          <w:szCs w:val="28"/>
          <w:lang w:val="pt-BR"/>
        </w:rPr>
      </w:pPr>
      <w:r>
        <w:rPr>
          <w:rFonts w:hint="default"/>
          <w:b/>
          <w:bCs/>
          <w:sz w:val="28"/>
          <w:szCs w:val="28"/>
          <w:lang w:val="pt-BR"/>
        </w:rPr>
        <w:t>Anexo I da Ata de Registro de Preços</w:t>
      </w:r>
    </w:p>
    <w:p w14:paraId="53556E2E">
      <w:pPr>
        <w:spacing w:before="0" w:after="0" w:line="264" w:lineRule="auto"/>
        <w:jc w:val="center"/>
        <w:rPr>
          <w:rFonts w:hint="default"/>
          <w:lang w:val="pt-BR"/>
        </w:rPr>
      </w:pPr>
    </w:p>
    <w:p w14:paraId="2C1DC354">
      <w:pPr>
        <w:spacing w:before="0" w:after="0" w:line="264" w:lineRule="auto"/>
        <w:jc w:val="center"/>
        <w:rPr>
          <w:rFonts w:hint="default" w:ascii="Arial" w:hAnsi="Arial" w:eastAsia="SimSun" w:cs="Arial"/>
          <w:sz w:val="24"/>
          <w:szCs w:val="24"/>
        </w:rPr>
      </w:pPr>
      <w:r>
        <w:rPr>
          <w:rFonts w:hint="default" w:ascii="Arial" w:hAnsi="Arial" w:eastAsia="SimSun" w:cs="Arial"/>
          <w:sz w:val="24"/>
          <w:szCs w:val="24"/>
        </w:rPr>
        <w:t xml:space="preserve">Seguindo a ordem de classificação, segue relação de fornecedores </w:t>
      </w:r>
      <w:r>
        <w:rPr>
          <w:rFonts w:hint="default" w:eastAsia="SimSun" w:cs="Arial"/>
          <w:sz w:val="24"/>
          <w:szCs w:val="24"/>
          <w:lang w:val="pt-BR"/>
        </w:rPr>
        <w:t>remanescentes</w:t>
      </w:r>
      <w:r>
        <w:rPr>
          <w:rFonts w:hint="default" w:ascii="Arial" w:hAnsi="Arial" w:eastAsia="SimSun" w:cs="Arial"/>
          <w:sz w:val="24"/>
          <w:szCs w:val="24"/>
        </w:rPr>
        <w:t>:</w:t>
      </w:r>
    </w:p>
    <w:p w14:paraId="32061D9F">
      <w:pPr>
        <w:spacing w:before="0" w:after="0" w:line="264" w:lineRule="auto"/>
        <w:jc w:val="center"/>
        <w:rPr>
          <w:rFonts w:hint="default" w:ascii="Arial" w:hAnsi="Arial" w:eastAsia="SimSun" w:cs="Arial"/>
          <w:sz w:val="24"/>
          <w:szCs w:val="24"/>
        </w:rPr>
      </w:pPr>
    </w:p>
    <w:tbl>
      <w:tblPr>
        <w:tblStyle w:val="27"/>
        <w:tblW w:w="0" w:type="auto"/>
        <w:tblInd w:w="5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8"/>
        <w:gridCol w:w="3047"/>
        <w:gridCol w:w="3236"/>
      </w:tblGrid>
      <w:tr w14:paraId="357D8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0" w:type="dxa"/>
            <w:gridSpan w:val="3"/>
          </w:tcPr>
          <w:p w14:paraId="268C4804">
            <w:pPr>
              <w:spacing w:before="0" w:after="0" w:line="264" w:lineRule="auto"/>
              <w:jc w:val="left"/>
              <w:rPr>
                <w:rFonts w:hint="default" w:eastAsia="SimSun" w:cs="Arial"/>
                <w:b/>
                <w:bCs/>
                <w:sz w:val="24"/>
                <w:szCs w:val="24"/>
                <w:vertAlign w:val="baseline"/>
                <w:lang w:val="pt-BR"/>
              </w:rPr>
            </w:pPr>
            <w:r>
              <w:rPr>
                <w:rFonts w:hint="default" w:eastAsia="SimSun" w:cs="Arial"/>
                <w:b/>
                <w:bCs/>
                <w:sz w:val="24"/>
                <w:szCs w:val="24"/>
                <w:vertAlign w:val="baseline"/>
                <w:lang w:val="pt-BR"/>
              </w:rPr>
              <w:t xml:space="preserve">Descrição do Item: </w:t>
            </w:r>
          </w:p>
          <w:p w14:paraId="790C5A5E">
            <w:pPr>
              <w:spacing w:before="0" w:after="0" w:line="264" w:lineRule="auto"/>
              <w:jc w:val="left"/>
              <w:rPr>
                <w:rFonts w:hint="default" w:eastAsia="SimSun" w:cs="Arial"/>
                <w:b/>
                <w:bCs/>
                <w:sz w:val="24"/>
                <w:szCs w:val="24"/>
                <w:vertAlign w:val="baseline"/>
                <w:lang w:val="pt-BR"/>
              </w:rPr>
            </w:pPr>
            <w:r>
              <w:rPr>
                <w:rFonts w:hint="default" w:eastAsia="SimSun" w:cs="Arial"/>
                <w:b/>
                <w:bCs/>
                <w:sz w:val="24"/>
                <w:szCs w:val="24"/>
                <w:vertAlign w:val="baseline"/>
                <w:lang w:val="pt-BR"/>
              </w:rPr>
              <w:t>Número do Item:</w:t>
            </w:r>
          </w:p>
        </w:tc>
      </w:tr>
      <w:tr w14:paraId="2C1C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0" w:type="dxa"/>
          </w:tcPr>
          <w:p w14:paraId="7FECBB3E">
            <w:pPr>
              <w:spacing w:before="0" w:after="0" w:line="264" w:lineRule="auto"/>
              <w:jc w:val="center"/>
              <w:rPr>
                <w:rFonts w:hint="default" w:ascii="Arial" w:hAnsi="Arial" w:eastAsia="SimSun" w:cs="Arial"/>
                <w:b/>
                <w:bCs/>
                <w:sz w:val="24"/>
                <w:szCs w:val="24"/>
                <w:vertAlign w:val="baseline"/>
                <w:lang w:val="pt-BR"/>
              </w:rPr>
            </w:pPr>
            <w:r>
              <w:rPr>
                <w:rFonts w:hint="default" w:eastAsia="SimSun" w:cs="Arial"/>
                <w:b/>
                <w:bCs/>
                <w:sz w:val="24"/>
                <w:szCs w:val="24"/>
                <w:vertAlign w:val="baseline"/>
                <w:lang w:val="pt-BR"/>
              </w:rPr>
              <w:t>Razão Social</w:t>
            </w:r>
          </w:p>
        </w:tc>
        <w:tc>
          <w:tcPr>
            <w:tcW w:w="3200" w:type="dxa"/>
          </w:tcPr>
          <w:p w14:paraId="0A46AFB6">
            <w:pPr>
              <w:spacing w:before="0" w:after="0" w:line="264" w:lineRule="auto"/>
              <w:jc w:val="center"/>
              <w:rPr>
                <w:rFonts w:hint="default" w:ascii="Arial" w:hAnsi="Arial" w:eastAsia="SimSun" w:cs="Arial"/>
                <w:b/>
                <w:bCs/>
                <w:sz w:val="24"/>
                <w:szCs w:val="24"/>
                <w:vertAlign w:val="baseline"/>
                <w:lang w:val="pt-BR"/>
              </w:rPr>
            </w:pPr>
            <w:r>
              <w:rPr>
                <w:rFonts w:hint="default" w:eastAsia="SimSun" w:cs="Arial"/>
                <w:b/>
                <w:bCs/>
                <w:sz w:val="24"/>
                <w:szCs w:val="24"/>
                <w:vertAlign w:val="baseline"/>
                <w:lang w:val="pt-BR"/>
              </w:rPr>
              <w:t>Valor unitário Registrado</w:t>
            </w:r>
          </w:p>
        </w:tc>
        <w:tc>
          <w:tcPr>
            <w:tcW w:w="3380" w:type="dxa"/>
          </w:tcPr>
          <w:p w14:paraId="6ED81D3F">
            <w:pPr>
              <w:spacing w:before="0" w:after="0" w:line="264" w:lineRule="auto"/>
              <w:jc w:val="center"/>
              <w:rPr>
                <w:rFonts w:hint="default" w:ascii="Arial" w:hAnsi="Arial" w:eastAsia="SimSun" w:cs="Arial"/>
                <w:b/>
                <w:bCs/>
                <w:sz w:val="24"/>
                <w:szCs w:val="24"/>
                <w:vertAlign w:val="baseline"/>
                <w:lang w:val="pt-BR"/>
              </w:rPr>
            </w:pPr>
            <w:r>
              <w:rPr>
                <w:rFonts w:hint="default" w:eastAsia="SimSun" w:cs="Arial"/>
                <w:b/>
                <w:bCs/>
                <w:sz w:val="24"/>
                <w:szCs w:val="24"/>
                <w:vertAlign w:val="baseline"/>
                <w:lang w:val="pt-BR"/>
              </w:rPr>
              <w:t>Classificação</w:t>
            </w:r>
          </w:p>
        </w:tc>
      </w:tr>
      <w:tr w14:paraId="7D151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0" w:type="dxa"/>
          </w:tcPr>
          <w:p w14:paraId="7AE69E34">
            <w:pPr>
              <w:spacing w:before="0" w:after="0" w:line="264" w:lineRule="auto"/>
              <w:jc w:val="center"/>
              <w:rPr>
                <w:rFonts w:hint="default" w:ascii="Arial" w:hAnsi="Arial" w:eastAsia="SimSun" w:cs="Arial"/>
                <w:sz w:val="24"/>
                <w:szCs w:val="24"/>
                <w:vertAlign w:val="baseline"/>
                <w:lang w:val="pt-BR"/>
              </w:rPr>
            </w:pPr>
          </w:p>
        </w:tc>
        <w:tc>
          <w:tcPr>
            <w:tcW w:w="3200" w:type="dxa"/>
          </w:tcPr>
          <w:p w14:paraId="16F517B6">
            <w:pPr>
              <w:spacing w:before="0" w:after="0" w:line="264" w:lineRule="auto"/>
              <w:jc w:val="center"/>
              <w:rPr>
                <w:rFonts w:hint="default" w:ascii="Arial" w:hAnsi="Arial" w:eastAsia="SimSun" w:cs="Arial"/>
                <w:sz w:val="24"/>
                <w:szCs w:val="24"/>
                <w:vertAlign w:val="baseline"/>
                <w:lang w:val="pt-BR"/>
              </w:rPr>
            </w:pPr>
          </w:p>
        </w:tc>
        <w:tc>
          <w:tcPr>
            <w:tcW w:w="3380" w:type="dxa"/>
          </w:tcPr>
          <w:p w14:paraId="117B6629">
            <w:pPr>
              <w:spacing w:before="0" w:after="0" w:line="264" w:lineRule="auto"/>
              <w:jc w:val="center"/>
              <w:rPr>
                <w:rFonts w:hint="default" w:ascii="Arial" w:hAnsi="Arial" w:eastAsia="SimSun" w:cs="Arial"/>
                <w:sz w:val="24"/>
                <w:szCs w:val="24"/>
                <w:vertAlign w:val="baseline"/>
                <w:lang w:val="pt-BR"/>
              </w:rPr>
            </w:pPr>
          </w:p>
        </w:tc>
      </w:tr>
    </w:tbl>
    <w:p w14:paraId="585B86CD">
      <w:pPr>
        <w:spacing w:before="0" w:after="0" w:line="264" w:lineRule="auto"/>
        <w:jc w:val="center"/>
        <w:rPr>
          <w:rFonts w:hint="default" w:ascii="Arial" w:hAnsi="Arial" w:eastAsia="SimSun" w:cs="Arial"/>
          <w:sz w:val="24"/>
          <w:szCs w:val="24"/>
          <w:lang w:val="pt-BR"/>
        </w:rPr>
      </w:pPr>
    </w:p>
    <w:p w14:paraId="2DE80D95">
      <w:pPr>
        <w:spacing w:before="0" w:after="0" w:line="264" w:lineRule="auto"/>
        <w:rPr>
          <w:rFonts w:hint="default" w:ascii="Arial" w:hAnsi="Arial" w:cs="Arial"/>
          <w:sz w:val="24"/>
          <w:szCs w:val="24"/>
        </w:rPr>
      </w:pPr>
    </w:p>
    <w:p w14:paraId="7638160A">
      <w:pPr>
        <w:spacing w:before="0" w:after="0" w:line="264" w:lineRule="auto"/>
        <w:rPr>
          <w:rFonts w:hint="default" w:ascii="Arial" w:hAnsi="Arial" w:cs="Arial"/>
          <w:sz w:val="24"/>
          <w:szCs w:val="24"/>
        </w:rPr>
      </w:pPr>
    </w:p>
    <w:p w14:paraId="2CD82AD9">
      <w:pPr>
        <w:spacing w:before="0" w:after="0" w:line="264" w:lineRule="auto"/>
      </w:pPr>
    </w:p>
    <w:p w14:paraId="72D225CF">
      <w:pPr>
        <w:spacing w:before="0" w:after="0" w:line="264" w:lineRule="auto"/>
      </w:pPr>
    </w:p>
    <w:p w14:paraId="694C3A96">
      <w:pPr>
        <w:spacing w:before="0" w:after="0" w:line="264" w:lineRule="auto"/>
      </w:pPr>
    </w:p>
    <w:p w14:paraId="22B50173">
      <w:pPr>
        <w:spacing w:before="0" w:after="0" w:line="264" w:lineRule="auto"/>
      </w:pPr>
    </w:p>
    <w:p w14:paraId="385F170B">
      <w:pPr>
        <w:spacing w:before="0" w:after="0" w:line="264" w:lineRule="auto"/>
      </w:pPr>
    </w:p>
    <w:p w14:paraId="62FF37C2">
      <w:pPr>
        <w:spacing w:before="0" w:after="0" w:line="264" w:lineRule="auto"/>
      </w:pPr>
    </w:p>
    <w:p w14:paraId="4AB2A5E5">
      <w:pPr>
        <w:spacing w:before="0" w:after="0" w:line="264" w:lineRule="auto"/>
      </w:pPr>
    </w:p>
    <w:p w14:paraId="4447CF03">
      <w:pPr>
        <w:spacing w:before="0" w:after="0" w:line="264" w:lineRule="auto"/>
      </w:pPr>
    </w:p>
    <w:p w14:paraId="0DC1F38D">
      <w:pPr>
        <w:spacing w:before="0" w:after="0" w:line="264" w:lineRule="auto"/>
      </w:pPr>
    </w:p>
    <w:p w14:paraId="49C11084">
      <w:pPr>
        <w:spacing w:before="0" w:after="0" w:line="264" w:lineRule="auto"/>
      </w:pPr>
    </w:p>
    <w:p w14:paraId="0512FE95">
      <w:pPr>
        <w:spacing w:before="0" w:after="0" w:line="264" w:lineRule="auto"/>
      </w:pPr>
    </w:p>
    <w:p w14:paraId="48CE67D0">
      <w:pPr>
        <w:spacing w:before="0" w:after="0" w:line="264" w:lineRule="auto"/>
      </w:pPr>
    </w:p>
    <w:p w14:paraId="259E4431">
      <w:pPr>
        <w:spacing w:before="0" w:after="0" w:line="264" w:lineRule="auto"/>
      </w:pPr>
    </w:p>
    <w:p w14:paraId="547764F8">
      <w:pPr>
        <w:spacing w:before="0" w:after="0" w:line="264" w:lineRule="auto"/>
      </w:pPr>
    </w:p>
    <w:p w14:paraId="541BA1F2">
      <w:pPr>
        <w:spacing w:before="0" w:after="0" w:line="264" w:lineRule="auto"/>
      </w:pPr>
    </w:p>
    <w:p w14:paraId="02E09145">
      <w:pPr>
        <w:spacing w:before="0" w:after="0" w:line="264" w:lineRule="auto"/>
      </w:pPr>
    </w:p>
    <w:p w14:paraId="4C63C7C2">
      <w:pPr>
        <w:spacing w:before="0" w:after="0" w:line="264" w:lineRule="auto"/>
      </w:pPr>
    </w:p>
    <w:p w14:paraId="3C68A3AC">
      <w:pPr>
        <w:spacing w:before="0" w:after="0" w:line="264" w:lineRule="auto"/>
      </w:pPr>
    </w:p>
    <w:p w14:paraId="541898FA">
      <w:pPr>
        <w:spacing w:before="0" w:after="0" w:line="264" w:lineRule="auto"/>
      </w:pPr>
    </w:p>
    <w:p w14:paraId="1D94C743">
      <w:pPr>
        <w:spacing w:before="0" w:after="0" w:line="264" w:lineRule="auto"/>
      </w:pPr>
    </w:p>
    <w:p w14:paraId="53CB6302">
      <w:pPr>
        <w:spacing w:before="0" w:after="0" w:line="264" w:lineRule="auto"/>
      </w:pPr>
    </w:p>
    <w:p w14:paraId="6E7A7A8C">
      <w:pPr>
        <w:spacing w:before="0" w:after="0" w:line="264" w:lineRule="auto"/>
      </w:pPr>
    </w:p>
    <w:p w14:paraId="72470490">
      <w:pPr>
        <w:spacing w:before="0" w:after="0" w:line="264" w:lineRule="auto"/>
      </w:pPr>
    </w:p>
    <w:p w14:paraId="70A56B65">
      <w:pPr>
        <w:spacing w:before="0" w:after="0" w:line="264" w:lineRule="auto"/>
      </w:pPr>
    </w:p>
    <w:p w14:paraId="16C15EC9">
      <w:pPr>
        <w:spacing w:before="0" w:after="0" w:line="264" w:lineRule="auto"/>
      </w:pPr>
    </w:p>
    <w:p w14:paraId="4E8A5BF8">
      <w:pPr>
        <w:spacing w:before="0" w:after="0" w:line="264" w:lineRule="auto"/>
      </w:pPr>
    </w:p>
    <w:p w14:paraId="72B0A684">
      <w:pPr>
        <w:spacing w:before="0" w:after="0" w:line="264" w:lineRule="auto"/>
      </w:pPr>
    </w:p>
    <w:p w14:paraId="385DEFB6">
      <w:pPr>
        <w:spacing w:before="0" w:after="0" w:line="264" w:lineRule="auto"/>
      </w:pPr>
    </w:p>
    <w:p w14:paraId="0E793E01">
      <w:pPr>
        <w:spacing w:before="0" w:after="0" w:line="264" w:lineRule="auto"/>
      </w:pPr>
    </w:p>
    <w:p w14:paraId="74C51384">
      <w:pPr>
        <w:spacing w:before="120" w:after="0" w:line="264" w:lineRule="auto"/>
        <w:jc w:val="center"/>
        <w:rPr>
          <w:rFonts w:cs="Arial"/>
          <w:b/>
          <w:bCs/>
          <w:szCs w:val="24"/>
        </w:rPr>
      </w:pPr>
      <w:r>
        <w:rPr>
          <w:rFonts w:cs="Arial"/>
          <w:b/>
          <w:bCs/>
          <w:szCs w:val="24"/>
        </w:rPr>
        <w:t>ANEXO IV – MINUTA DE CONTRATO (caso seja necessário a formalização)</w:t>
      </w:r>
    </w:p>
    <w:p w14:paraId="05FEF682">
      <w:pPr>
        <w:spacing w:before="120" w:after="0" w:line="264" w:lineRule="auto"/>
        <w:jc w:val="center"/>
        <w:rPr>
          <w:rFonts w:hint="default" w:cs="Arial"/>
          <w:b/>
          <w:bCs/>
          <w:szCs w:val="24"/>
          <w:lang w:val="pt-BR"/>
        </w:rPr>
      </w:pPr>
      <w:r>
        <w:rPr>
          <w:rFonts w:hint="default" w:cs="Arial"/>
          <w:b/>
          <w:bCs/>
          <w:szCs w:val="24"/>
          <w:lang w:val="pt-BR"/>
        </w:rPr>
        <w:t xml:space="preserve">MINUTA DE </w:t>
      </w:r>
      <w:r>
        <w:rPr>
          <w:rFonts w:cs="Arial"/>
          <w:b/>
          <w:bCs/>
          <w:szCs w:val="24"/>
        </w:rPr>
        <w:t xml:space="preserve">CONTRATO Nº </w:t>
      </w:r>
      <w:r>
        <w:rPr>
          <w:rFonts w:cs="Arial"/>
          <w:color w:val="000000" w:themeColor="text1"/>
          <w:szCs w:val="24"/>
          <w14:textFill>
            <w14:solidFill>
              <w14:schemeClr w14:val="tx1"/>
            </w14:solidFill>
          </w14:textFill>
        </w:rPr>
        <w:t>.......</w:t>
      </w:r>
      <w:r>
        <w:rPr>
          <w:rFonts w:cs="Arial"/>
          <w:b/>
          <w:bCs/>
          <w:szCs w:val="24"/>
        </w:rPr>
        <w:t>/202</w:t>
      </w:r>
      <w:r>
        <w:rPr>
          <w:rFonts w:hint="default" w:cs="Arial"/>
          <w:b/>
          <w:bCs/>
          <w:szCs w:val="24"/>
          <w:lang w:val="pt-BR"/>
        </w:rPr>
        <w:t>6(se for necessário)</w:t>
      </w:r>
    </w:p>
    <w:p w14:paraId="272D211E">
      <w:pPr>
        <w:spacing w:before="120" w:after="0" w:line="264" w:lineRule="auto"/>
        <w:jc w:val="center"/>
        <w:rPr>
          <w:rFonts w:cs="Arial"/>
          <w:b/>
          <w:bCs/>
          <w:szCs w:val="24"/>
          <w:lang w:val="pt-BR"/>
        </w:rPr>
      </w:pPr>
    </w:p>
    <w:p w14:paraId="18E4E077">
      <w:pPr>
        <w:spacing w:before="120" w:after="0" w:line="264" w:lineRule="auto"/>
        <w:jc w:val="both"/>
        <w:rPr>
          <w:rFonts w:cs="Arial"/>
        </w:rPr>
      </w:pPr>
      <w:r>
        <w:rPr>
          <w:rFonts w:cs="Arial"/>
        </w:rPr>
        <w:t xml:space="preserve">O </w:t>
      </w:r>
      <w:r>
        <w:rPr>
          <w:rFonts w:cs="Arial"/>
          <w:b/>
          <w:bCs/>
        </w:rPr>
        <w:t>MUNICÍPIO DE PARANAVAÍ</w:t>
      </w:r>
      <w:r>
        <w:rPr>
          <w:rFonts w:cs="Arial"/>
        </w:rPr>
        <w:t xml:space="preserve">, pessoa jurídica de direito público interno, com sede administrativa na Rua Getúlio Vargas, n.º 900, Centro, Paranavaí-PR, inscrito no CNPJ/MF sob o n.º 76.977.768/0001-81, neste ato representado pelo Secretário .............., ...........(nome)......... , inscrito no CPF ......(nº do CPF), doravante denominado </w:t>
      </w:r>
      <w:r>
        <w:rPr>
          <w:rFonts w:cs="Arial"/>
          <w:b/>
          <w:bCs/>
        </w:rPr>
        <w:t>contratante</w:t>
      </w:r>
      <w:r>
        <w:rPr>
          <w:rFonts w:cs="Arial"/>
        </w:rPr>
        <w:t xml:space="preserve"> e a empresa ................., pessoa jurídica de direito privado, inscrita no CNPJ sob o nº ......., estabelecida à........ , na cidade de ....... – ......, CEP ........., e-mail.........., neste ato representada pelo Sr. .......(nome), inscrito no CPF ......(nº do CPF), doravante denominado </w:t>
      </w:r>
      <w:r>
        <w:rPr>
          <w:rFonts w:cs="Arial"/>
          <w:b/>
          <w:bCs/>
        </w:rPr>
        <w:t>contratado</w:t>
      </w:r>
      <w:r>
        <w:rPr>
          <w:rFonts w:cs="Arial"/>
        </w:rPr>
        <w:t xml:space="preserve"> resolvem celebrar contrato, que será regido pelas cláusulas a seguir expostas.</w:t>
      </w:r>
    </w:p>
    <w:p w14:paraId="7876419D">
      <w:pPr>
        <w:pStyle w:val="61"/>
        <w:numPr>
          <w:ilvl w:val="0"/>
          <w:numId w:val="20"/>
        </w:numPr>
        <w:ind w:left="0" w:right="140" w:firstLine="0"/>
      </w:pPr>
      <w:r>
        <w:t>NORMAS REGENTES</w:t>
      </w:r>
    </w:p>
    <w:p w14:paraId="13478370">
      <w:pPr>
        <w:spacing w:before="120" w:after="0" w:line="264" w:lineRule="auto"/>
        <w:ind w:right="-1"/>
        <w:jc w:val="both"/>
        <w:rPr>
          <w:rFonts w:cs="Arial"/>
        </w:rPr>
      </w:pPr>
      <w:r>
        <w:rPr>
          <w:rFonts w:hint="default" w:cs="Arial"/>
          <w:lang w:val="pt-BR"/>
        </w:rPr>
        <w:t>1.1.</w:t>
      </w:r>
      <w:r>
        <w:rPr>
          <w:rFonts w:cs="Arial"/>
        </w:rPr>
        <w:t xml:space="preserve">O presente contrato está vinculado à Licitação n° </w:t>
      </w:r>
      <w:r>
        <w:rPr>
          <w:rFonts w:hint="default" w:cs="Arial"/>
          <w:lang w:val="pt-BR"/>
        </w:rPr>
        <w:t>012</w:t>
      </w:r>
      <w:r>
        <w:rPr>
          <w:rFonts w:cs="Arial"/>
        </w:rPr>
        <w:t>/202</w:t>
      </w:r>
      <w:r>
        <w:rPr>
          <w:rFonts w:hint="default" w:cs="Arial"/>
          <w:lang w:val="pt-BR"/>
        </w:rPr>
        <w:t>6</w:t>
      </w:r>
      <w:r>
        <w:rPr>
          <w:rFonts w:cs="Arial"/>
        </w:rPr>
        <w:t xml:space="preserve"> e ao Processo Administrativo nº </w:t>
      </w:r>
      <w:r>
        <w:rPr>
          <w:rFonts w:hint="default" w:cs="Arial"/>
          <w:lang w:val="pt-BR"/>
        </w:rPr>
        <w:t>017</w:t>
      </w:r>
      <w:r>
        <w:rPr>
          <w:rFonts w:cs="Arial"/>
        </w:rPr>
        <w:t>/202</w:t>
      </w:r>
      <w:r>
        <w:rPr>
          <w:rFonts w:cs="Arial"/>
          <w:lang w:val="pt-BR"/>
        </w:rPr>
        <w:t>5</w:t>
      </w:r>
      <w:r>
        <w:rPr>
          <w:rFonts w:cs="Arial"/>
        </w:rPr>
        <w:t>,</w:t>
      </w:r>
      <w:r>
        <w:rPr>
          <w:rFonts w:hint="default" w:cs="Arial"/>
          <w:lang w:val="pt-BR"/>
        </w:rPr>
        <w:t xml:space="preserve"> Ata de Registro de Preços nº xxxx/2026</w:t>
      </w:r>
      <w:r>
        <w:rPr>
          <w:rFonts w:cs="Arial"/>
        </w:rPr>
        <w:t xml:space="preserve"> ao edital e à proposta apresentada pelo contratado, regendo-se por suas cláusulas e, em legislação geral, pela Lei nº 14.133/2021 </w:t>
      </w:r>
      <w:r>
        <w:rPr>
          <w:rFonts w:hint="default" w:cs="Arial"/>
          <w:lang w:val="pt-BR"/>
        </w:rPr>
        <w:t>,</w:t>
      </w:r>
      <w:r>
        <w:rPr>
          <w:rFonts w:cs="Arial"/>
        </w:rPr>
        <w:t xml:space="preserve"> Decreto municipal nº 24.731/2023</w:t>
      </w:r>
      <w:bookmarkStart w:id="10" w:name="_Hlk114661365"/>
      <w:r>
        <w:rPr>
          <w:rFonts w:hint="default" w:cs="Arial"/>
          <w:lang w:val="pt-BR"/>
        </w:rPr>
        <w:t xml:space="preserve">  e demais legislação aplicada</w:t>
      </w:r>
      <w:r>
        <w:rPr>
          <w:rFonts w:cs="Arial"/>
        </w:rPr>
        <w:t xml:space="preserve">. </w:t>
      </w:r>
      <w:bookmarkEnd w:id="10"/>
    </w:p>
    <w:p w14:paraId="43E5E9E3">
      <w:pPr>
        <w:spacing w:before="120" w:after="0" w:line="264" w:lineRule="auto"/>
        <w:ind w:right="-1"/>
        <w:jc w:val="both"/>
        <w:rPr>
          <w:rFonts w:cs="Arial"/>
        </w:rPr>
      </w:pPr>
      <w:r>
        <w:rPr>
          <w:rFonts w:hint="default" w:cs="Arial"/>
          <w:lang w:val="pt-BR"/>
        </w:rPr>
        <w:t>1.2.Integra como anexo I  deste contrato o Manual Tributário -  MT.</w:t>
      </w:r>
      <w:r>
        <w:rPr>
          <w:rFonts w:cs="Arial"/>
        </w:rPr>
        <w:t xml:space="preserve"> </w:t>
      </w:r>
    </w:p>
    <w:p w14:paraId="362DD594">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VIGÊNCIA</w:t>
      </w:r>
    </w:p>
    <w:p w14:paraId="4493BA7F">
      <w:pPr>
        <w:pStyle w:val="41"/>
        <w:numPr>
          <w:ilvl w:val="1"/>
          <w:numId w:val="19"/>
        </w:numPr>
        <w:tabs>
          <w:tab w:val="left" w:pos="0"/>
          <w:tab w:val="left" w:pos="567"/>
          <w:tab w:val="left" w:pos="1843"/>
        </w:tabs>
        <w:spacing w:before="120" w:after="0" w:line="264" w:lineRule="auto"/>
        <w:ind w:left="0" w:firstLine="0"/>
        <w:contextualSpacing w:val="0"/>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O prazo de vigência deste contrato será de </w:t>
      </w:r>
      <w:r>
        <w:rPr>
          <w:rFonts w:hint="default" w:cs="Arial"/>
          <w:color w:val="000000" w:themeColor="text1"/>
          <w:lang w:val="pt-BR"/>
          <w14:textFill>
            <w14:solidFill>
              <w14:schemeClr w14:val="tx1"/>
            </w14:solidFill>
          </w14:textFill>
        </w:rPr>
        <w:t>01</w:t>
      </w:r>
      <w:r>
        <w:rPr>
          <w:rFonts w:cs="Arial"/>
          <w:color w:val="000000" w:themeColor="text1"/>
          <w14:textFill>
            <w14:solidFill>
              <w14:schemeClr w14:val="tx1"/>
            </w14:solidFill>
          </w14:textFill>
        </w:rPr>
        <w:t xml:space="preserve"> (</w:t>
      </w:r>
      <w:r>
        <w:rPr>
          <w:rFonts w:hint="default" w:cs="Arial"/>
          <w:color w:val="000000" w:themeColor="text1"/>
          <w:lang w:val="pt-BR"/>
          <w14:textFill>
            <w14:solidFill>
              <w14:schemeClr w14:val="tx1"/>
            </w14:solidFill>
          </w14:textFill>
        </w:rPr>
        <w:t>um</w:t>
      </w:r>
      <w:r>
        <w:rPr>
          <w:rFonts w:cs="Arial"/>
          <w:color w:val="000000" w:themeColor="text1"/>
          <w14:textFill>
            <w14:solidFill>
              <w14:schemeClr w14:val="tx1"/>
            </w14:solidFill>
          </w14:textFill>
        </w:rPr>
        <w:t xml:space="preserve">) </w:t>
      </w:r>
      <w:r>
        <w:rPr>
          <w:rFonts w:hint="default" w:cs="Arial"/>
          <w:color w:val="000000" w:themeColor="text1"/>
          <w:lang w:val="pt-BR"/>
          <w14:textFill>
            <w14:solidFill>
              <w14:schemeClr w14:val="tx1"/>
            </w14:solidFill>
          </w14:textFill>
        </w:rPr>
        <w:t>ano</w:t>
      </w:r>
      <w:r>
        <w:rPr>
          <w:rFonts w:cs="Arial"/>
          <w:color w:val="000000" w:themeColor="text1"/>
          <w14:textFill>
            <w14:solidFill>
              <w14:schemeClr w14:val="tx1"/>
            </w14:solidFill>
          </w14:textFill>
        </w:rPr>
        <w:t xml:space="preserve">, contados da </w:t>
      </w:r>
      <w:r>
        <w:rPr>
          <w:rFonts w:hint="default" w:cs="Arial"/>
          <w:color w:val="000000" w:themeColor="text1"/>
          <w:lang w:val="pt-BR"/>
          <w14:textFill>
            <w14:solidFill>
              <w14:schemeClr w14:val="tx1"/>
            </w14:solidFill>
          </w14:textFill>
        </w:rPr>
        <w:t>assinatura do contrato, podendo ser prorrogado por igual período , conforme previsto em legislação e vigor.</w:t>
      </w:r>
    </w:p>
    <w:p w14:paraId="7D0D88A7">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OBJETO</w:t>
      </w:r>
    </w:p>
    <w:p w14:paraId="4F0EE039">
      <w:pPr>
        <w:pStyle w:val="20"/>
        <w:keepNext w:val="0"/>
        <w:keepLines w:val="0"/>
        <w:widowControl/>
        <w:numPr>
          <w:ilvl w:val="1"/>
          <w:numId w:val="19"/>
        </w:numPr>
        <w:suppressLineNumbers w:val="0"/>
        <w:tabs>
          <w:tab w:val="left" w:pos="0"/>
        </w:tabs>
        <w:bidi w:val="0"/>
        <w:spacing w:before="0" w:beforeAutospacing="0" w:after="0" w:afterAutospacing="0" w:line="288" w:lineRule="auto"/>
        <w:ind w:left="0" w:right="0" w:firstLine="0"/>
        <w:jc w:val="both"/>
        <w:rPr>
          <w:rFonts w:hint="default" w:ascii="Arial" w:hAnsi="Arial" w:cs="Arial"/>
        </w:rPr>
      </w:pPr>
      <w:r>
        <w:rPr>
          <w:rFonts w:hint="default" w:ascii="Arial" w:hAnsi="Arial" w:cs="Arial"/>
          <w:lang w:val="pt-BR"/>
        </w:rPr>
        <w:t xml:space="preserve">Registro de preços visando </w:t>
      </w:r>
      <w:r>
        <w:rPr>
          <w:rFonts w:hint="default"/>
          <w:lang w:val="en-US" w:eastAsia="zh-CN"/>
        </w:rPr>
        <w:t xml:space="preserve"> </w:t>
      </w:r>
      <w:r>
        <w:rPr>
          <w:rFonts w:hint="default"/>
          <w:lang w:val="pt-BR" w:eastAsia="zh-CN"/>
        </w:rPr>
        <w:t xml:space="preserve"> </w:t>
      </w:r>
      <w:r>
        <w:rPr>
          <w:rFonts w:hint="default" w:ascii="Arial" w:hAnsi="Arial" w:cs="Arial"/>
          <w:lang w:val="pt-BR" w:eastAsia="zh-CN"/>
        </w:rPr>
        <w:t xml:space="preserve">a </w:t>
      </w:r>
      <w:r>
        <w:rPr>
          <w:rFonts w:hint="default" w:ascii="Arial" w:hAnsi="Arial" w:cs="Arial"/>
        </w:rPr>
        <w:t xml:space="preserve">para aquisição futura e parcelada de Massa asfáltica usinada a quente (CBUQ) para aplicação à frio, a serem utilizados em execução de reparações </w:t>
      </w:r>
      <w:r>
        <w:rPr>
          <w:rFonts w:hint="default" w:ascii="Arial" w:hAnsi="Arial" w:cs="Arial"/>
          <w:spacing w:val="-2"/>
        </w:rPr>
        <w:t>asfálticas.</w:t>
      </w:r>
    </w:p>
    <w:p w14:paraId="0196E41B">
      <w:pPr>
        <w:pStyle w:val="41"/>
        <w:numPr>
          <w:ilvl w:val="0"/>
          <w:numId w:val="0"/>
        </w:numPr>
        <w:spacing w:before="0" w:after="0"/>
        <w:ind w:left="0" w:firstLine="0"/>
        <w:contextualSpacing w:val="0"/>
        <w:jc w:val="both"/>
        <w:rPr>
          <w:rFonts w:hint="default" w:ascii="Arial" w:hAnsi="Arial" w:cs="Arial"/>
          <w:szCs w:val="24"/>
        </w:rPr>
      </w:pPr>
    </w:p>
    <w:p w14:paraId="4FA63F1F">
      <w:pPr>
        <w:pStyle w:val="41"/>
        <w:numPr>
          <w:ilvl w:val="0"/>
          <w:numId w:val="0"/>
        </w:numPr>
        <w:ind w:leftChars="0"/>
        <w:jc w:val="both"/>
        <w:rPr>
          <w:rFonts w:hint="default"/>
          <w:lang w:val="pt-BR"/>
        </w:rPr>
      </w:pPr>
      <w:r>
        <w:rPr>
          <w:rFonts w:hint="default"/>
          <w:lang w:val="pt-BR"/>
        </w:rPr>
        <w:t>3.2. Especificação do serviço</w:t>
      </w:r>
    </w:p>
    <w:tbl>
      <w:tblPr>
        <w:tblStyle w:val="10"/>
        <w:tblpPr w:leftFromText="180" w:rightFromText="180" w:vertAnchor="text" w:horzAnchor="page" w:tblpX="1298" w:tblpY="491"/>
        <w:tblOverlap w:val="never"/>
        <w:tblW w:w="1013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8"/>
        <w:gridCol w:w="3504"/>
        <w:gridCol w:w="1062"/>
        <w:gridCol w:w="1154"/>
        <w:gridCol w:w="1257"/>
        <w:gridCol w:w="1224"/>
        <w:gridCol w:w="336"/>
        <w:gridCol w:w="956"/>
      </w:tblGrid>
      <w:tr w14:paraId="702C1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blHeader/>
        </w:trPr>
        <w:tc>
          <w:tcPr>
            <w:tcW w:w="638" w:type="dxa"/>
            <w:tcBorders>
              <w:top w:val="single" w:color="auto" w:sz="4" w:space="0"/>
              <w:left w:val="single" w:color="auto" w:sz="4" w:space="0"/>
              <w:bottom w:val="single" w:color="auto" w:sz="4" w:space="0"/>
              <w:right w:val="single" w:color="auto" w:sz="4" w:space="0"/>
            </w:tcBorders>
            <w:shd w:val="clear" w:color="auto" w:fill="A9A3BF"/>
            <w:noWrap w:val="0"/>
            <w:tcMar>
              <w:top w:w="0" w:type="dxa"/>
              <w:left w:w="0" w:type="dxa"/>
              <w:bottom w:w="0" w:type="dxa"/>
              <w:right w:w="60" w:type="dxa"/>
            </w:tcMar>
          </w:tcPr>
          <w:p w14:paraId="76DD89EB">
            <w:pPr>
              <w:bidi w:val="0"/>
              <w:jc w:val="center"/>
              <w:rPr>
                <w:rFonts w:ascii="Arial" w:hAnsi="Arial" w:eastAsia="Arial" w:cs="Arial"/>
                <w:b/>
                <w:color w:val="000000"/>
                <w:spacing w:val="0"/>
                <w:sz w:val="16"/>
                <w:szCs w:val="16"/>
              </w:rPr>
            </w:pPr>
            <w:r>
              <w:rPr>
                <w:rFonts w:ascii="Arial" w:hAnsi="Arial" w:eastAsia="Arial" w:cs="Arial"/>
                <w:b/>
                <w:color w:val="000000"/>
                <w:spacing w:val="0"/>
                <w:sz w:val="16"/>
                <w:szCs w:val="16"/>
              </w:rPr>
              <w:t>Item</w:t>
            </w:r>
          </w:p>
        </w:tc>
        <w:tc>
          <w:tcPr>
            <w:tcW w:w="3504" w:type="dxa"/>
            <w:tcBorders>
              <w:top w:val="single" w:color="auto" w:sz="4" w:space="0"/>
              <w:left w:val="single" w:color="auto" w:sz="4" w:space="0"/>
              <w:bottom w:val="single" w:color="auto" w:sz="4" w:space="0"/>
              <w:right w:val="single" w:color="auto" w:sz="4" w:space="0"/>
            </w:tcBorders>
            <w:shd w:val="clear" w:color="auto" w:fill="A9A3BF"/>
            <w:noWrap w:val="0"/>
            <w:tcMar>
              <w:top w:w="0" w:type="dxa"/>
              <w:left w:w="0" w:type="dxa"/>
              <w:bottom w:w="0" w:type="dxa"/>
              <w:right w:w="0" w:type="dxa"/>
            </w:tcMar>
          </w:tcPr>
          <w:p w14:paraId="3F919086">
            <w:pPr>
              <w:bidi w:val="0"/>
              <w:ind w:firstLine="240" w:firstLineChars="150"/>
              <w:jc w:val="center"/>
              <w:rPr>
                <w:rFonts w:ascii="Arial" w:hAnsi="Arial" w:eastAsia="Arial" w:cs="Arial"/>
                <w:b/>
                <w:color w:val="000000"/>
                <w:spacing w:val="0"/>
                <w:sz w:val="16"/>
                <w:szCs w:val="16"/>
              </w:rPr>
            </w:pPr>
            <w:r>
              <w:rPr>
                <w:rFonts w:ascii="Arial" w:hAnsi="Arial" w:eastAsia="Arial" w:cs="Arial"/>
                <w:b/>
                <w:color w:val="000000"/>
                <w:spacing w:val="0"/>
                <w:sz w:val="16"/>
                <w:szCs w:val="16"/>
              </w:rPr>
              <w:t>Descrição</w:t>
            </w:r>
          </w:p>
        </w:tc>
        <w:tc>
          <w:tcPr>
            <w:tcW w:w="1062" w:type="dxa"/>
            <w:tcBorders>
              <w:top w:val="single" w:color="auto" w:sz="4" w:space="0"/>
              <w:left w:val="single" w:color="auto" w:sz="4" w:space="0"/>
              <w:bottom w:val="single" w:color="auto" w:sz="4" w:space="0"/>
              <w:right w:val="single" w:color="auto" w:sz="4" w:space="0"/>
            </w:tcBorders>
            <w:shd w:val="clear" w:color="auto" w:fill="A9A3BF"/>
            <w:noWrap w:val="0"/>
            <w:tcMar>
              <w:top w:w="0" w:type="dxa"/>
              <w:left w:w="0" w:type="dxa"/>
              <w:bottom w:w="0" w:type="dxa"/>
              <w:right w:w="0" w:type="dxa"/>
            </w:tcMar>
          </w:tcPr>
          <w:p w14:paraId="3199F220">
            <w:pPr>
              <w:bidi w:val="0"/>
              <w:jc w:val="center"/>
              <w:rPr>
                <w:rFonts w:ascii="Arial" w:hAnsi="Arial" w:eastAsia="Arial" w:cs="Arial"/>
                <w:b/>
                <w:color w:val="000000"/>
                <w:spacing w:val="0"/>
                <w:sz w:val="16"/>
                <w:szCs w:val="16"/>
              </w:rPr>
            </w:pPr>
            <w:r>
              <w:rPr>
                <w:rFonts w:ascii="Arial" w:hAnsi="Arial" w:eastAsia="Arial" w:cs="Arial"/>
                <w:b/>
                <w:color w:val="000000"/>
                <w:spacing w:val="0"/>
                <w:sz w:val="16"/>
                <w:szCs w:val="16"/>
              </w:rPr>
              <w:t>Unidade</w:t>
            </w:r>
          </w:p>
        </w:tc>
        <w:tc>
          <w:tcPr>
            <w:tcW w:w="1154" w:type="dxa"/>
            <w:tcBorders>
              <w:top w:val="single" w:color="auto" w:sz="4" w:space="0"/>
              <w:left w:val="single" w:color="auto" w:sz="4" w:space="0"/>
              <w:bottom w:val="single" w:color="auto" w:sz="4" w:space="0"/>
              <w:right w:val="single" w:color="auto" w:sz="4" w:space="0"/>
            </w:tcBorders>
            <w:shd w:val="clear" w:color="auto" w:fill="A9A3BF"/>
            <w:noWrap w:val="0"/>
            <w:tcMar>
              <w:top w:w="0" w:type="dxa"/>
              <w:left w:w="0" w:type="dxa"/>
              <w:bottom w:w="0" w:type="dxa"/>
              <w:right w:w="60" w:type="dxa"/>
            </w:tcMar>
          </w:tcPr>
          <w:p w14:paraId="566BFEB6">
            <w:pPr>
              <w:bidi w:val="0"/>
              <w:jc w:val="center"/>
              <w:rPr>
                <w:rFonts w:hint="default" w:ascii="Arial" w:hAnsi="Arial" w:eastAsia="Arial" w:cs="Arial"/>
                <w:b/>
                <w:color w:val="000000"/>
                <w:spacing w:val="0"/>
                <w:sz w:val="16"/>
                <w:szCs w:val="16"/>
                <w:lang w:val="pt-BR"/>
              </w:rPr>
            </w:pPr>
            <w:r>
              <w:rPr>
                <w:rFonts w:ascii="Arial" w:hAnsi="Arial" w:eastAsia="Arial" w:cs="Arial"/>
                <w:b/>
                <w:color w:val="000000"/>
                <w:spacing w:val="0"/>
                <w:sz w:val="16"/>
                <w:szCs w:val="16"/>
              </w:rPr>
              <w:t xml:space="preserve">Quantidade  </w:t>
            </w:r>
            <w:r>
              <w:rPr>
                <w:rFonts w:hint="default" w:eastAsia="Arial" w:cs="Arial"/>
                <w:b/>
                <w:color w:val="000000"/>
                <w:spacing w:val="0"/>
                <w:sz w:val="16"/>
                <w:szCs w:val="16"/>
                <w:lang w:val="pt-BR"/>
              </w:rPr>
              <w:t>Estimada</w:t>
            </w:r>
          </w:p>
        </w:tc>
        <w:tc>
          <w:tcPr>
            <w:tcW w:w="1257" w:type="dxa"/>
            <w:tcBorders>
              <w:top w:val="single" w:color="auto" w:sz="4" w:space="0"/>
              <w:left w:val="single" w:color="auto" w:sz="4" w:space="0"/>
              <w:bottom w:val="single" w:color="auto" w:sz="4" w:space="0"/>
              <w:right w:val="single" w:color="auto" w:sz="4" w:space="0"/>
            </w:tcBorders>
            <w:shd w:val="clear" w:color="auto" w:fill="A9A3BF"/>
            <w:noWrap w:val="0"/>
            <w:tcMar>
              <w:top w:w="0" w:type="dxa"/>
              <w:left w:w="0" w:type="dxa"/>
              <w:bottom w:w="0" w:type="dxa"/>
              <w:right w:w="60" w:type="dxa"/>
            </w:tcMar>
          </w:tcPr>
          <w:p w14:paraId="69CE559E">
            <w:pPr>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Marca</w:t>
            </w:r>
          </w:p>
        </w:tc>
        <w:tc>
          <w:tcPr>
            <w:tcW w:w="1224" w:type="dxa"/>
            <w:tcBorders>
              <w:top w:val="single" w:color="auto" w:sz="4" w:space="0"/>
              <w:left w:val="single" w:color="auto" w:sz="4" w:space="0"/>
              <w:bottom w:val="single" w:color="auto" w:sz="4" w:space="0"/>
              <w:right w:val="single" w:color="auto" w:sz="4" w:space="0"/>
            </w:tcBorders>
            <w:shd w:val="clear" w:color="auto" w:fill="A9A3BF"/>
            <w:noWrap w:val="0"/>
            <w:tcMar>
              <w:top w:w="0" w:type="dxa"/>
              <w:left w:w="0" w:type="dxa"/>
              <w:bottom w:w="0" w:type="dxa"/>
              <w:right w:w="60" w:type="dxa"/>
            </w:tcMar>
          </w:tcPr>
          <w:p w14:paraId="7485DA60">
            <w:pPr>
              <w:wordWrap/>
              <w:bidi w:val="0"/>
              <w:jc w:val="center"/>
              <w:rPr>
                <w:rFonts w:ascii="Arial" w:hAnsi="Arial" w:eastAsia="Arial" w:cs="Arial"/>
                <w:b/>
                <w:color w:val="000000"/>
                <w:spacing w:val="0"/>
                <w:sz w:val="16"/>
                <w:szCs w:val="16"/>
              </w:rPr>
            </w:pPr>
            <w:r>
              <w:rPr>
                <w:rFonts w:hint="default" w:eastAsia="Arial" w:cs="Arial"/>
                <w:b/>
                <w:color w:val="000000"/>
                <w:spacing w:val="0"/>
                <w:sz w:val="16"/>
                <w:szCs w:val="16"/>
                <w:lang w:val="pt-BR"/>
              </w:rPr>
              <w:t xml:space="preserve">Valor </w:t>
            </w:r>
            <w:r>
              <w:rPr>
                <w:rFonts w:ascii="Arial" w:hAnsi="Arial" w:eastAsia="Arial" w:cs="Arial"/>
                <w:b/>
                <w:color w:val="000000"/>
                <w:spacing w:val="0"/>
                <w:sz w:val="16"/>
                <w:szCs w:val="16"/>
              </w:rPr>
              <w:t xml:space="preserve"> Total</w:t>
            </w:r>
          </w:p>
          <w:p w14:paraId="7285C592">
            <w:pPr>
              <w:wordWrap/>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Estimado</w:t>
            </w:r>
          </w:p>
        </w:tc>
        <w:tc>
          <w:tcPr>
            <w:tcW w:w="1292" w:type="dxa"/>
            <w:gridSpan w:val="2"/>
            <w:tcBorders>
              <w:top w:val="single" w:color="auto" w:sz="4" w:space="0"/>
              <w:left w:val="single" w:color="auto" w:sz="4" w:space="0"/>
              <w:bottom w:val="single" w:color="auto" w:sz="4" w:space="0"/>
              <w:right w:val="single" w:color="auto" w:sz="4" w:space="0"/>
            </w:tcBorders>
            <w:shd w:val="clear" w:color="auto" w:fill="A9A3BF"/>
            <w:noWrap w:val="0"/>
            <w:tcMar>
              <w:top w:w="0" w:type="dxa"/>
              <w:left w:w="0" w:type="dxa"/>
              <w:bottom w:w="0" w:type="dxa"/>
              <w:right w:w="60" w:type="dxa"/>
            </w:tcMar>
          </w:tcPr>
          <w:p w14:paraId="2F6D714C">
            <w:pPr>
              <w:wordWrap/>
              <w:bidi w:val="0"/>
              <w:jc w:val="center"/>
              <w:rPr>
                <w:rFonts w:hint="default" w:eastAsia="Arial" w:cs="Arial"/>
                <w:b/>
                <w:color w:val="000000"/>
                <w:spacing w:val="0"/>
                <w:sz w:val="16"/>
                <w:szCs w:val="16"/>
                <w:lang w:val="pt-BR"/>
              </w:rPr>
            </w:pPr>
            <w:r>
              <w:rPr>
                <w:rFonts w:hint="default" w:eastAsia="Arial" w:cs="Arial"/>
                <w:b/>
                <w:color w:val="000000"/>
                <w:spacing w:val="0"/>
                <w:sz w:val="16"/>
                <w:szCs w:val="16"/>
                <w:lang w:val="pt-BR"/>
              </w:rPr>
              <w:t>Valor</w:t>
            </w:r>
            <w:r>
              <w:rPr>
                <w:rFonts w:ascii="Arial" w:hAnsi="Arial" w:eastAsia="Arial" w:cs="Arial"/>
                <w:b/>
                <w:color w:val="000000"/>
                <w:spacing w:val="0"/>
                <w:sz w:val="16"/>
                <w:szCs w:val="16"/>
              </w:rPr>
              <w:t xml:space="preserve"> Unitária</w:t>
            </w:r>
          </w:p>
          <w:p w14:paraId="1373E4E7">
            <w:pPr>
              <w:wordWrap/>
              <w:bidi w:val="0"/>
              <w:jc w:val="center"/>
              <w:rPr>
                <w:rFonts w:hint="default" w:ascii="Arial" w:hAnsi="Arial" w:eastAsia="Arial" w:cs="Arial"/>
                <w:b/>
                <w:color w:val="000000"/>
                <w:spacing w:val="0"/>
                <w:sz w:val="16"/>
                <w:szCs w:val="16"/>
                <w:lang w:val="pt-BR"/>
              </w:rPr>
            </w:pPr>
            <w:r>
              <w:rPr>
                <w:rFonts w:hint="default" w:eastAsia="Arial" w:cs="Arial"/>
                <w:b/>
                <w:color w:val="000000"/>
                <w:spacing w:val="0"/>
                <w:sz w:val="16"/>
                <w:szCs w:val="16"/>
                <w:lang w:val="pt-BR"/>
              </w:rPr>
              <w:t>Estimado</w:t>
            </w:r>
          </w:p>
        </w:tc>
      </w:tr>
      <w:tr w14:paraId="61F48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5BD4BA46">
            <w:pPr>
              <w:bidi w:val="0"/>
              <w:jc w:val="center"/>
              <w:rPr>
                <w:rFonts w:ascii="Arial" w:hAnsi="Arial" w:eastAsia="Arial" w:cs="Arial"/>
                <w:color w:val="000000"/>
                <w:spacing w:val="0"/>
                <w:sz w:val="16"/>
                <w:szCs w:val="16"/>
              </w:rPr>
            </w:pPr>
          </w:p>
        </w:tc>
        <w:tc>
          <w:tcPr>
            <w:tcW w:w="350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295F9EA9">
            <w:pPr>
              <w:bidi w:val="0"/>
              <w:jc w:val="both"/>
              <w:rPr>
                <w:rFonts w:ascii="Arial" w:hAnsi="Arial" w:eastAsia="Arial" w:cs="Arial"/>
                <w:color w:val="000000"/>
                <w:spacing w:val="0"/>
                <w:sz w:val="16"/>
                <w:szCs w:val="16"/>
              </w:rPr>
            </w:pPr>
          </w:p>
        </w:tc>
        <w:tc>
          <w:tcPr>
            <w:tcW w:w="1062"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55506B12">
            <w:pPr>
              <w:bidi w:val="0"/>
              <w:jc w:val="center"/>
              <w:rPr>
                <w:rFonts w:ascii="Arial" w:hAnsi="Arial" w:eastAsia="Arial" w:cs="Arial"/>
                <w:color w:val="000000"/>
                <w:spacing w:val="0"/>
                <w:sz w:val="16"/>
                <w:szCs w:val="16"/>
              </w:rPr>
            </w:pPr>
          </w:p>
        </w:tc>
        <w:tc>
          <w:tcPr>
            <w:tcW w:w="115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59197C26">
            <w:pPr>
              <w:bidi w:val="0"/>
              <w:jc w:val="center"/>
              <w:rPr>
                <w:rFonts w:hint="default" w:ascii="Arial" w:hAnsi="Arial" w:eastAsia="Arial" w:cs="Arial"/>
                <w:color w:val="000000"/>
                <w:spacing w:val="0"/>
                <w:sz w:val="16"/>
                <w:szCs w:val="16"/>
                <w:lang w:val="pt-BR"/>
              </w:rPr>
            </w:pPr>
          </w:p>
        </w:tc>
        <w:tc>
          <w:tcPr>
            <w:tcW w:w="125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6C4C5874">
            <w:pPr>
              <w:bidi w:val="0"/>
              <w:jc w:val="center"/>
              <w:rPr>
                <w:rFonts w:hint="default" w:ascii="Arial" w:hAnsi="Arial" w:eastAsia="Arial" w:cs="Arial"/>
                <w:color w:val="000000"/>
                <w:spacing w:val="0"/>
                <w:sz w:val="16"/>
                <w:szCs w:val="16"/>
                <w:lang w:val="pt-BR"/>
              </w:rPr>
            </w:pPr>
          </w:p>
        </w:tc>
        <w:tc>
          <w:tcPr>
            <w:tcW w:w="122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40124C3B">
            <w:pPr>
              <w:bidi w:val="0"/>
              <w:jc w:val="center"/>
              <w:rPr>
                <w:rFonts w:ascii="Arial" w:hAnsi="Arial" w:eastAsia="Arial" w:cs="Arial"/>
                <w:color w:val="000000"/>
                <w:spacing w:val="0"/>
                <w:sz w:val="16"/>
                <w:szCs w:val="16"/>
              </w:rPr>
            </w:pPr>
          </w:p>
        </w:tc>
        <w:tc>
          <w:tcPr>
            <w:tcW w:w="1292"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3E138866">
            <w:pPr>
              <w:bidi w:val="0"/>
              <w:jc w:val="center"/>
              <w:rPr>
                <w:rFonts w:ascii="Arial" w:hAnsi="Arial" w:eastAsia="Arial" w:cs="Arial"/>
                <w:color w:val="000000"/>
                <w:spacing w:val="0"/>
                <w:sz w:val="16"/>
                <w:szCs w:val="16"/>
              </w:rPr>
            </w:pPr>
          </w:p>
        </w:tc>
      </w:tr>
      <w:tr w14:paraId="2136C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638"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57CF13F3">
            <w:pPr>
              <w:bidi w:val="0"/>
              <w:jc w:val="center"/>
              <w:rPr>
                <w:rFonts w:ascii="Arial" w:hAnsi="Arial" w:eastAsia="Arial" w:cs="Arial"/>
                <w:color w:val="000000"/>
                <w:spacing w:val="0"/>
                <w:sz w:val="16"/>
                <w:szCs w:val="16"/>
              </w:rPr>
            </w:pPr>
          </w:p>
        </w:tc>
        <w:tc>
          <w:tcPr>
            <w:tcW w:w="350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23FD510D">
            <w:pPr>
              <w:bidi w:val="0"/>
              <w:jc w:val="both"/>
              <w:rPr>
                <w:rFonts w:ascii="Arial" w:hAnsi="Arial" w:eastAsia="Arial" w:cs="Arial"/>
                <w:color w:val="000000"/>
                <w:spacing w:val="0"/>
                <w:sz w:val="16"/>
                <w:szCs w:val="16"/>
              </w:rPr>
            </w:pPr>
          </w:p>
        </w:tc>
        <w:tc>
          <w:tcPr>
            <w:tcW w:w="1062"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2389FF70">
            <w:pPr>
              <w:bidi w:val="0"/>
              <w:jc w:val="center"/>
              <w:rPr>
                <w:rFonts w:ascii="Arial" w:hAnsi="Arial" w:eastAsia="Arial" w:cs="Arial"/>
                <w:color w:val="000000"/>
                <w:spacing w:val="0"/>
                <w:sz w:val="16"/>
                <w:szCs w:val="16"/>
              </w:rPr>
            </w:pPr>
          </w:p>
        </w:tc>
        <w:tc>
          <w:tcPr>
            <w:tcW w:w="115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2BF7673D">
            <w:pPr>
              <w:bidi w:val="0"/>
              <w:jc w:val="center"/>
              <w:rPr>
                <w:rFonts w:ascii="Arial" w:hAnsi="Arial" w:eastAsia="Arial" w:cs="Arial"/>
                <w:color w:val="000000"/>
                <w:spacing w:val="0"/>
                <w:sz w:val="16"/>
                <w:szCs w:val="16"/>
              </w:rPr>
            </w:pPr>
          </w:p>
        </w:tc>
        <w:tc>
          <w:tcPr>
            <w:tcW w:w="1257"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0DB2B1A2">
            <w:pPr>
              <w:bidi w:val="0"/>
              <w:jc w:val="center"/>
              <w:rPr>
                <w:rFonts w:ascii="Arial" w:hAnsi="Arial" w:eastAsia="Arial" w:cs="Arial"/>
                <w:color w:val="000000"/>
                <w:spacing w:val="0"/>
                <w:sz w:val="16"/>
                <w:szCs w:val="16"/>
              </w:rPr>
            </w:pPr>
          </w:p>
        </w:tc>
        <w:tc>
          <w:tcPr>
            <w:tcW w:w="1224" w:type="dxa"/>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274312B6">
            <w:pPr>
              <w:bidi w:val="0"/>
              <w:jc w:val="center"/>
              <w:rPr>
                <w:rFonts w:ascii="Arial" w:hAnsi="Arial" w:eastAsia="Arial" w:cs="Arial"/>
                <w:color w:val="000000"/>
                <w:spacing w:val="0"/>
                <w:sz w:val="16"/>
                <w:szCs w:val="16"/>
              </w:rPr>
            </w:pPr>
          </w:p>
        </w:tc>
        <w:tc>
          <w:tcPr>
            <w:tcW w:w="1292" w:type="dxa"/>
            <w:gridSpan w:val="2"/>
            <w:tcBorders>
              <w:top w:val="single" w:color="auto" w:sz="4" w:space="0"/>
              <w:left w:val="single" w:color="auto" w:sz="4" w:space="0"/>
              <w:bottom w:val="single" w:color="auto" w:sz="4" w:space="0"/>
              <w:right w:val="single" w:color="auto" w:sz="4" w:space="0"/>
            </w:tcBorders>
            <w:noWrap w:val="0"/>
            <w:tcMar>
              <w:top w:w="0" w:type="dxa"/>
              <w:left w:w="0" w:type="dxa"/>
              <w:bottom w:w="0" w:type="dxa"/>
              <w:right w:w="0" w:type="dxa"/>
            </w:tcMar>
          </w:tcPr>
          <w:p w14:paraId="1E724901">
            <w:pPr>
              <w:bidi w:val="0"/>
              <w:jc w:val="center"/>
              <w:rPr>
                <w:rFonts w:ascii="Arial" w:hAnsi="Arial" w:eastAsia="Arial" w:cs="Arial"/>
                <w:color w:val="000000"/>
                <w:spacing w:val="0"/>
                <w:sz w:val="16"/>
                <w:szCs w:val="16"/>
              </w:rPr>
            </w:pPr>
          </w:p>
        </w:tc>
      </w:tr>
      <w:tr w14:paraId="5694F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4" w:hRule="atLeast"/>
        </w:trPr>
        <w:tc>
          <w:tcPr>
            <w:tcW w:w="638" w:type="dxa"/>
            <w:tcBorders>
              <w:top w:val="single" w:color="auto" w:sz="4" w:space="0"/>
              <w:left w:val="single" w:color="auto" w:sz="4" w:space="0"/>
              <w:bottom w:val="single" w:color="auto" w:sz="4" w:space="0"/>
            </w:tcBorders>
            <w:shd w:val="clear" w:color="auto" w:fill="A9A3BF"/>
            <w:noWrap w:val="0"/>
            <w:tcMar>
              <w:top w:w="0" w:type="dxa"/>
              <w:left w:w="0" w:type="dxa"/>
              <w:bottom w:w="0" w:type="dxa"/>
              <w:right w:w="0" w:type="dxa"/>
            </w:tcMar>
          </w:tcPr>
          <w:p w14:paraId="12F0CA2B">
            <w:pPr>
              <w:spacing w:line="1" w:lineRule="auto"/>
            </w:pPr>
          </w:p>
        </w:tc>
        <w:tc>
          <w:tcPr>
            <w:tcW w:w="3504" w:type="dxa"/>
            <w:tcBorders>
              <w:top w:val="single" w:color="auto" w:sz="4" w:space="0"/>
              <w:bottom w:val="single" w:color="auto" w:sz="4" w:space="0"/>
            </w:tcBorders>
            <w:shd w:val="clear" w:color="auto" w:fill="A9A3BF"/>
            <w:noWrap w:val="0"/>
            <w:tcMar>
              <w:top w:w="0" w:type="dxa"/>
              <w:left w:w="0" w:type="dxa"/>
              <w:bottom w:w="0" w:type="dxa"/>
              <w:right w:w="0" w:type="dxa"/>
            </w:tcMar>
          </w:tcPr>
          <w:p w14:paraId="6AD6D4D4">
            <w:pPr>
              <w:spacing w:line="1" w:lineRule="auto"/>
            </w:pPr>
          </w:p>
        </w:tc>
        <w:tc>
          <w:tcPr>
            <w:tcW w:w="1062" w:type="dxa"/>
            <w:tcBorders>
              <w:top w:val="single" w:color="auto" w:sz="4" w:space="0"/>
              <w:bottom w:val="single" w:color="auto" w:sz="4" w:space="0"/>
            </w:tcBorders>
            <w:shd w:val="clear" w:color="auto" w:fill="A9A3BF"/>
            <w:noWrap w:val="0"/>
            <w:tcMar>
              <w:top w:w="0" w:type="dxa"/>
              <w:left w:w="0" w:type="dxa"/>
              <w:bottom w:w="0" w:type="dxa"/>
              <w:right w:w="0" w:type="dxa"/>
            </w:tcMar>
          </w:tcPr>
          <w:p w14:paraId="58730641">
            <w:pPr>
              <w:spacing w:line="1" w:lineRule="auto"/>
            </w:pPr>
          </w:p>
        </w:tc>
        <w:tc>
          <w:tcPr>
            <w:tcW w:w="1154" w:type="dxa"/>
            <w:tcBorders>
              <w:top w:val="single" w:color="auto" w:sz="4" w:space="0"/>
              <w:bottom w:val="single" w:color="auto" w:sz="4" w:space="0"/>
            </w:tcBorders>
            <w:shd w:val="clear" w:color="auto" w:fill="A9A3BF"/>
            <w:noWrap w:val="0"/>
            <w:tcMar>
              <w:top w:w="0" w:type="dxa"/>
              <w:left w:w="0" w:type="dxa"/>
              <w:bottom w:w="0" w:type="dxa"/>
              <w:right w:w="0" w:type="dxa"/>
            </w:tcMar>
          </w:tcPr>
          <w:p w14:paraId="31354BFF">
            <w:pPr>
              <w:spacing w:line="1" w:lineRule="auto"/>
            </w:pPr>
          </w:p>
        </w:tc>
        <w:tc>
          <w:tcPr>
            <w:tcW w:w="1257" w:type="dxa"/>
            <w:tcBorders>
              <w:top w:val="single" w:color="auto" w:sz="4" w:space="0"/>
              <w:bottom w:val="single" w:color="auto" w:sz="4" w:space="0"/>
            </w:tcBorders>
            <w:shd w:val="clear" w:color="auto" w:fill="A9A3BF"/>
            <w:noWrap w:val="0"/>
            <w:tcMar>
              <w:top w:w="0" w:type="dxa"/>
              <w:left w:w="0" w:type="dxa"/>
              <w:bottom w:w="0" w:type="dxa"/>
              <w:right w:w="0" w:type="dxa"/>
            </w:tcMar>
          </w:tcPr>
          <w:p w14:paraId="0DE09A3F">
            <w:pPr>
              <w:spacing w:line="1" w:lineRule="auto"/>
            </w:pPr>
          </w:p>
        </w:tc>
        <w:tc>
          <w:tcPr>
            <w:tcW w:w="1224" w:type="dxa"/>
            <w:tcBorders>
              <w:top w:val="single" w:color="auto" w:sz="4" w:space="0"/>
              <w:bottom w:val="single" w:color="auto" w:sz="4" w:space="0"/>
            </w:tcBorders>
            <w:shd w:val="clear" w:color="auto" w:fill="A9A3BF"/>
            <w:noWrap w:val="0"/>
            <w:tcMar>
              <w:top w:w="0" w:type="dxa"/>
              <w:left w:w="0" w:type="dxa"/>
              <w:bottom w:w="0" w:type="dxa"/>
              <w:right w:w="0" w:type="dxa"/>
            </w:tcMar>
          </w:tcPr>
          <w:p w14:paraId="28A23A33">
            <w:pPr>
              <w:bidi w:val="0"/>
              <w:spacing w:before="0" w:after="0"/>
              <w:jc w:val="right"/>
            </w:pPr>
            <w:r>
              <w:rPr>
                <w:rFonts w:ascii="Arial" w:hAnsi="Arial" w:eastAsia="Arial" w:cs="Arial"/>
                <w:b/>
                <w:color w:val="000000"/>
                <w:spacing w:val="0"/>
                <w:sz w:val="16"/>
                <w:szCs w:val="16"/>
                <w:bdr w:val="single" w:color="000000" w:sz="6" w:space="0"/>
                <w:shd w:val="clear" w:color="auto" w:fill="C0C0C0"/>
              </w:rPr>
              <w:t xml:space="preserve">Soma: </w:t>
            </w:r>
          </w:p>
        </w:tc>
        <w:tc>
          <w:tcPr>
            <w:tcW w:w="1292" w:type="dxa"/>
            <w:gridSpan w:val="2"/>
            <w:tcBorders>
              <w:top w:val="single" w:color="auto" w:sz="4" w:space="0"/>
              <w:bottom w:val="single" w:color="auto" w:sz="4" w:space="0"/>
              <w:right w:val="single" w:color="auto" w:sz="4" w:space="0"/>
            </w:tcBorders>
            <w:shd w:val="clear" w:color="auto" w:fill="A9A3BF"/>
            <w:noWrap w:val="0"/>
            <w:tcMar>
              <w:top w:w="0" w:type="dxa"/>
              <w:left w:w="0" w:type="dxa"/>
              <w:bottom w:w="0" w:type="dxa"/>
              <w:right w:w="0" w:type="dxa"/>
            </w:tcMar>
          </w:tcPr>
          <w:p w14:paraId="316A735F">
            <w:pPr>
              <w:spacing w:line="1" w:lineRule="auto"/>
            </w:pPr>
          </w:p>
        </w:tc>
      </w:tr>
      <w:tr w14:paraId="2C9D5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175" w:type="dxa"/>
            <w:gridSpan w:val="7"/>
            <w:tcBorders>
              <w:top w:val="single" w:color="auto" w:sz="4" w:space="0"/>
            </w:tcBorders>
            <w:noWrap w:val="0"/>
            <w:tcMar>
              <w:top w:w="0" w:type="dxa"/>
              <w:left w:w="0" w:type="dxa"/>
              <w:bottom w:w="0" w:type="dxa"/>
              <w:right w:w="0" w:type="dxa"/>
            </w:tcMar>
          </w:tcPr>
          <w:p w14:paraId="2013B75E">
            <w:pPr>
              <w:spacing w:line="1" w:lineRule="auto"/>
            </w:pPr>
          </w:p>
        </w:tc>
        <w:tc>
          <w:tcPr>
            <w:tcW w:w="956" w:type="dxa"/>
            <w:tcBorders>
              <w:top w:val="single" w:color="auto" w:sz="4" w:space="0"/>
            </w:tcBorders>
            <w:noWrap w:val="0"/>
            <w:tcMar>
              <w:top w:w="0" w:type="dxa"/>
              <w:left w:w="0" w:type="dxa"/>
              <w:bottom w:w="0" w:type="dxa"/>
              <w:right w:w="0" w:type="dxa"/>
            </w:tcMar>
          </w:tcPr>
          <w:p w14:paraId="23B7AD83">
            <w:pPr>
              <w:spacing w:line="1" w:lineRule="auto"/>
            </w:pPr>
          </w:p>
        </w:tc>
      </w:tr>
    </w:tbl>
    <w:p w14:paraId="1C55435B">
      <w:pPr>
        <w:pStyle w:val="41"/>
        <w:numPr>
          <w:ilvl w:val="0"/>
          <w:numId w:val="0"/>
        </w:numPr>
        <w:spacing w:before="0" w:after="0"/>
        <w:ind w:left="0" w:firstLine="0"/>
        <w:contextualSpacing w:val="0"/>
        <w:jc w:val="both"/>
        <w:rPr>
          <w:rFonts w:cs="Arial"/>
          <w:szCs w:val="24"/>
        </w:rPr>
      </w:pPr>
    </w:p>
    <w:p w14:paraId="0FA4B613">
      <w:pPr>
        <w:pStyle w:val="41"/>
        <w:keepNext/>
        <w:numPr>
          <w:ilvl w:val="0"/>
          <w:numId w:val="19"/>
        </w:numPr>
        <w:pBdr>
          <w:bottom w:val="thinThickMediumGap" w:color="000000" w:sz="18" w:space="1"/>
        </w:pBdr>
        <w:tabs>
          <w:tab w:val="left" w:pos="0"/>
        </w:tabs>
        <w:spacing w:before="360" w:after="0" w:line="264" w:lineRule="auto"/>
        <w:ind w:left="0" w:firstLine="0"/>
        <w:contextualSpacing w:val="0"/>
        <w:jc w:val="both"/>
        <w:rPr>
          <w:rFonts w:cs="Arial"/>
          <w:b/>
          <w:bCs/>
        </w:rPr>
      </w:pPr>
      <w:r>
        <w:rPr>
          <w:rFonts w:cs="Arial"/>
          <w:b/>
          <w:bCs/>
        </w:rPr>
        <w:t>REGIME E FORMA DE EXECUÇÃO</w:t>
      </w:r>
    </w:p>
    <w:p w14:paraId="76E6C579">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O regime de execução deste contrato é o de Empreitada por preço unitário. </w:t>
      </w:r>
    </w:p>
    <w:p w14:paraId="1E73890B">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A forma de execução deste contrato é </w:t>
      </w:r>
      <w:sdt>
        <w:sdtPr>
          <w:alias w:val="Forma de execução do contrato"/>
          <w:tag w:val="Forma de execução do contrato"/>
          <w:id w:val="246151925"/>
          <w:placeholder>
            <w:docPart w:val="BC96821913E94F439A44B5F273EC2954"/>
          </w:placeholder>
          <w:comboBox>
            <w:listItem w:displayText="CLIQUE PARA ESCOLHER UMA OPÇÃO" w:value="CLIQUE PARA ESCOLHER UMA OPÇÃO"/>
            <w:listItem w:displayText="Fornecimento imediato" w:value="Fornecimento imediato"/>
            <w:listItem w:displayText="Fornecimento continuado" w:value="Fornecimento continuado"/>
            <w:listItem w:displayText="Prestação de serviço imediato" w:value="Prestação de serviço imediato"/>
            <w:listItem w:displayText="Serviço continuado com predominância de mão de obra" w:value="Serviço continuado com predominância de mão de obra"/>
            <w:listItem w:displayText="Serviço continuado sem dedicação exclusiva de mão de obra" w:value="Serviço continuado sem dedicação exclusiva de mão de obra"/>
            <w:listItem w:displayText="Serviço continuado com dedicação exclusiva de mão de obra" w:value="Serviço continuado com dedicação exclusiva de mão de obra"/>
            <w:listItem w:displayText="Contrato de fornecimento com serviço continuado com predominância de mão de obra" w:value="Contrato de fornecimento com serviço continuado com predominância de mão de obra"/>
            <w:listItem w:displayText="Contrato de fornecimento com serviço continuado com dedicação exclusiva de mão de obra" w:value="Contrato de fornecimento com serviço continuado com dedicação exclusiva de mão de obra"/>
            <w:listItem w:displayText="Contrato de fornecimento com serviço continuado sem dedicação exclusiva de mão de obra" w:value="Contrato de fornecimento com serviço continuado sem dedicação exclusiva de mão de obra"/>
          </w:comboBox>
        </w:sdtPr>
        <w:sdtContent>
          <w:r>
            <w:rPr>
              <w:color w:val="000000" w:themeColor="text1"/>
              <w:lang w:val="pt-BR"/>
              <w14:textFill>
                <w14:solidFill>
                  <w14:schemeClr w14:val="tx1"/>
                </w14:solidFill>
              </w14:textFill>
            </w:rPr>
            <w:t>Fornecimento parcelado</w:t>
          </w:r>
        </w:sdtContent>
      </w:sdt>
      <w:r>
        <w:rPr>
          <w:color w:val="000000" w:themeColor="text1"/>
          <w14:textFill>
            <w14:solidFill>
              <w14:schemeClr w14:val="tx1"/>
            </w14:solidFill>
          </w14:textFill>
        </w:rPr>
        <w:t>.</w:t>
      </w:r>
      <w:r>
        <w:rPr>
          <w:rFonts w:cs="Arial"/>
        </w:rPr>
        <w:t xml:space="preserve"> </w:t>
      </w:r>
    </w:p>
    <w:p w14:paraId="58F16E07">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LOCAL E PRAZO DE ENTREGA / EXECUÇÃO</w:t>
      </w:r>
    </w:p>
    <w:p w14:paraId="05C291D6">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O local </w:t>
      </w:r>
      <w:r>
        <w:rPr>
          <w:rFonts w:hint="default" w:cs="Arial"/>
          <w:lang w:val="pt-BR"/>
        </w:rPr>
        <w:t xml:space="preserve">de entrega dos produtos é na </w:t>
      </w:r>
      <w:r>
        <w:t>Secretaria Municipal de Infraestrutura e Serviços Públicos: Avenida Heitor de Alencar Furtado, nº 7170 Jardim Santos Dumont</w:t>
      </w:r>
    </w:p>
    <w:p w14:paraId="21E13DDB">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O prazo de entrega </w:t>
      </w:r>
      <w:r>
        <w:rPr>
          <w:rFonts w:hint="default" w:cs="Arial"/>
          <w:lang w:val="pt-BR"/>
        </w:rPr>
        <w:t>dos produtos será de 05(cinco) dias a contar do recebimento da nota de empenho.</w:t>
      </w:r>
    </w:p>
    <w:p w14:paraId="15D632CA">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O prazo de entrega / execução poderá ser prorrogado em caso de alterações unilaterais determinadas pelo contratante, bem como pela ocorrência de eventos supervenientes, alheios à vontade das partes, que impactem no seu cumprimento, mediante solicitação formal, devidamente fundamentada, encaminhada pelo contratado ao fiscal do contrato em momento anterior à data de entrega ou conclusão do serviço. </w:t>
      </w:r>
    </w:p>
    <w:p w14:paraId="3EE97275">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FONTE DE RECURSOS</w:t>
      </w:r>
    </w:p>
    <w:p w14:paraId="35EBB47C">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A despesa correrá por conta da(s) dotação(ões) orçamentária(s): </w:t>
      </w:r>
    </w:p>
    <w:tbl>
      <w:tblPr>
        <w:tblStyle w:val="10"/>
        <w:tblW w:w="9743"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438"/>
        <w:gridCol w:w="877"/>
        <w:gridCol w:w="547"/>
        <w:gridCol w:w="547"/>
        <w:gridCol w:w="547"/>
        <w:gridCol w:w="2190"/>
        <w:gridCol w:w="767"/>
        <w:gridCol w:w="984"/>
        <w:gridCol w:w="984"/>
        <w:gridCol w:w="767"/>
      </w:tblGrid>
      <w:tr w14:paraId="40575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95" w:type="dxa"/>
            <w:shd w:val="clear" w:color="auto" w:fill="AAAAC6"/>
            <w:noWrap w:val="0"/>
            <w:tcMar>
              <w:top w:w="0" w:type="dxa"/>
              <w:left w:w="0" w:type="dxa"/>
              <w:bottom w:w="0" w:type="dxa"/>
              <w:right w:w="0" w:type="dxa"/>
            </w:tcMar>
            <w:vAlign w:val="top"/>
          </w:tcPr>
          <w:p w14:paraId="12124DBF">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Entidade</w:t>
            </w:r>
          </w:p>
        </w:tc>
        <w:tc>
          <w:tcPr>
            <w:tcW w:w="438" w:type="dxa"/>
            <w:shd w:val="clear" w:color="auto" w:fill="AAAAC6"/>
            <w:noWrap w:val="0"/>
            <w:tcMar>
              <w:top w:w="0" w:type="dxa"/>
              <w:left w:w="0" w:type="dxa"/>
              <w:bottom w:w="0" w:type="dxa"/>
              <w:right w:w="60" w:type="dxa"/>
            </w:tcMar>
            <w:vAlign w:val="top"/>
          </w:tcPr>
          <w:p w14:paraId="4165F118">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Ano</w:t>
            </w:r>
          </w:p>
        </w:tc>
        <w:tc>
          <w:tcPr>
            <w:tcW w:w="877" w:type="dxa"/>
            <w:shd w:val="clear" w:color="auto" w:fill="AAAAC6"/>
            <w:noWrap w:val="0"/>
            <w:tcMar>
              <w:top w:w="0" w:type="dxa"/>
              <w:left w:w="0" w:type="dxa"/>
              <w:bottom w:w="0" w:type="dxa"/>
              <w:right w:w="60" w:type="dxa"/>
            </w:tcMar>
            <w:vAlign w:val="top"/>
          </w:tcPr>
          <w:p w14:paraId="769DC816">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Dotação</w:t>
            </w:r>
          </w:p>
        </w:tc>
        <w:tc>
          <w:tcPr>
            <w:tcW w:w="547" w:type="dxa"/>
            <w:shd w:val="clear" w:color="auto" w:fill="AAAAC6"/>
            <w:noWrap w:val="0"/>
            <w:tcMar>
              <w:top w:w="0" w:type="dxa"/>
              <w:left w:w="0" w:type="dxa"/>
              <w:bottom w:w="0" w:type="dxa"/>
              <w:right w:w="60" w:type="dxa"/>
            </w:tcMar>
            <w:vAlign w:val="top"/>
          </w:tcPr>
          <w:p w14:paraId="7F9DD831">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Órgão</w:t>
            </w:r>
          </w:p>
        </w:tc>
        <w:tc>
          <w:tcPr>
            <w:tcW w:w="547" w:type="dxa"/>
            <w:shd w:val="clear" w:color="auto" w:fill="AAAAC6"/>
            <w:noWrap w:val="0"/>
            <w:tcMar>
              <w:top w:w="0" w:type="dxa"/>
              <w:left w:w="0" w:type="dxa"/>
              <w:bottom w:w="0" w:type="dxa"/>
              <w:right w:w="60" w:type="dxa"/>
            </w:tcMar>
            <w:vAlign w:val="top"/>
          </w:tcPr>
          <w:p w14:paraId="195A44B9">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Unidade</w:t>
            </w:r>
          </w:p>
        </w:tc>
        <w:tc>
          <w:tcPr>
            <w:tcW w:w="547" w:type="dxa"/>
            <w:shd w:val="clear" w:color="auto" w:fill="AAAAC6"/>
            <w:noWrap w:val="0"/>
            <w:tcMar>
              <w:top w:w="0" w:type="dxa"/>
              <w:left w:w="0" w:type="dxa"/>
              <w:bottom w:w="0" w:type="dxa"/>
              <w:right w:w="60" w:type="dxa"/>
            </w:tcMar>
            <w:vAlign w:val="top"/>
          </w:tcPr>
          <w:p w14:paraId="7517ED8F">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Ação</w:t>
            </w:r>
          </w:p>
        </w:tc>
        <w:tc>
          <w:tcPr>
            <w:tcW w:w="2190" w:type="dxa"/>
            <w:shd w:val="clear" w:color="auto" w:fill="AAAAC6"/>
            <w:noWrap w:val="0"/>
            <w:tcMar>
              <w:top w:w="0" w:type="dxa"/>
              <w:left w:w="0" w:type="dxa"/>
              <w:bottom w:w="0" w:type="dxa"/>
              <w:right w:w="60" w:type="dxa"/>
            </w:tcMar>
            <w:vAlign w:val="top"/>
          </w:tcPr>
          <w:p w14:paraId="48D1C857">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Elemento - Código</w:t>
            </w:r>
          </w:p>
        </w:tc>
        <w:tc>
          <w:tcPr>
            <w:tcW w:w="767" w:type="dxa"/>
            <w:shd w:val="clear" w:color="auto" w:fill="AAAAC6"/>
            <w:noWrap w:val="0"/>
            <w:tcMar>
              <w:top w:w="0" w:type="dxa"/>
              <w:left w:w="0" w:type="dxa"/>
              <w:bottom w:w="0" w:type="dxa"/>
              <w:right w:w="60" w:type="dxa"/>
            </w:tcMar>
            <w:vAlign w:val="top"/>
          </w:tcPr>
          <w:p w14:paraId="333219A9">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Vínculo - Código</w:t>
            </w:r>
          </w:p>
        </w:tc>
        <w:tc>
          <w:tcPr>
            <w:tcW w:w="984" w:type="dxa"/>
            <w:shd w:val="clear" w:color="auto" w:fill="AAAAC6"/>
            <w:noWrap w:val="0"/>
            <w:tcMar>
              <w:top w:w="0" w:type="dxa"/>
              <w:left w:w="0" w:type="dxa"/>
              <w:bottom w:w="0" w:type="dxa"/>
              <w:right w:w="60" w:type="dxa"/>
            </w:tcMar>
            <w:vAlign w:val="top"/>
          </w:tcPr>
          <w:p w14:paraId="2D0CF659">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Valor - Reserva</w:t>
            </w:r>
          </w:p>
        </w:tc>
        <w:tc>
          <w:tcPr>
            <w:tcW w:w="984" w:type="dxa"/>
            <w:shd w:val="clear" w:color="auto" w:fill="AAAAC6"/>
            <w:noWrap w:val="0"/>
            <w:tcMar>
              <w:top w:w="0" w:type="dxa"/>
              <w:left w:w="0" w:type="dxa"/>
              <w:bottom w:w="0" w:type="dxa"/>
              <w:right w:w="0" w:type="dxa"/>
            </w:tcMar>
            <w:vAlign w:val="top"/>
          </w:tcPr>
          <w:p w14:paraId="6E915DC9">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Situação</w:t>
            </w:r>
          </w:p>
        </w:tc>
        <w:tc>
          <w:tcPr>
            <w:tcW w:w="767" w:type="dxa"/>
            <w:shd w:val="clear" w:color="auto" w:fill="AAAAC6"/>
            <w:noWrap w:val="0"/>
            <w:tcMar>
              <w:top w:w="0" w:type="dxa"/>
              <w:left w:w="0" w:type="dxa"/>
              <w:bottom w:w="0" w:type="dxa"/>
              <w:right w:w="0" w:type="dxa"/>
            </w:tcMar>
            <w:vAlign w:val="top"/>
          </w:tcPr>
          <w:p w14:paraId="2211212A">
            <w:pPr>
              <w:bidi w:val="0"/>
              <w:jc w:val="center"/>
              <w:rPr>
                <w:rFonts w:ascii="Arial" w:hAnsi="Arial" w:eastAsia="Arial" w:cs="Arial"/>
                <w:b/>
                <w:bCs/>
                <w:color w:val="000000"/>
                <w:spacing w:val="0"/>
                <w:sz w:val="16"/>
                <w:szCs w:val="16"/>
              </w:rPr>
            </w:pPr>
            <w:r>
              <w:rPr>
                <w:rFonts w:ascii="Arial" w:hAnsi="Arial" w:eastAsia="Arial" w:cs="Arial"/>
                <w:b/>
                <w:bCs/>
                <w:color w:val="000000"/>
                <w:spacing w:val="0"/>
                <w:sz w:val="16"/>
                <w:szCs w:val="16"/>
              </w:rPr>
              <w:t>Recurso Exerc. Ant.</w:t>
            </w:r>
          </w:p>
        </w:tc>
      </w:tr>
      <w:tr w14:paraId="27CD1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noWrap w:val="0"/>
            <w:tcMar>
              <w:top w:w="0" w:type="dxa"/>
              <w:left w:w="0" w:type="dxa"/>
              <w:bottom w:w="0" w:type="dxa"/>
              <w:right w:w="0" w:type="dxa"/>
            </w:tcMar>
            <w:vAlign w:val="top"/>
          </w:tcPr>
          <w:p w14:paraId="0FD9648A">
            <w:pPr>
              <w:bidi w:val="0"/>
              <w:rPr>
                <w:rFonts w:ascii="Arial" w:hAnsi="Arial" w:eastAsia="Arial" w:cs="Arial"/>
                <w:color w:val="000000"/>
                <w:spacing w:val="0"/>
                <w:sz w:val="16"/>
                <w:szCs w:val="16"/>
              </w:rPr>
            </w:pPr>
            <w:r>
              <w:rPr>
                <w:rFonts w:ascii="Arial" w:hAnsi="Arial" w:eastAsia="Arial" w:cs="Arial"/>
                <w:color w:val="000000"/>
                <w:spacing w:val="0"/>
                <w:sz w:val="16"/>
                <w:szCs w:val="16"/>
              </w:rPr>
              <w:t>MUNICÍPIO DE PARANAVAÍ</w:t>
            </w:r>
          </w:p>
        </w:tc>
        <w:tc>
          <w:tcPr>
            <w:tcW w:w="438" w:type="dxa"/>
            <w:noWrap w:val="0"/>
            <w:tcMar>
              <w:top w:w="0" w:type="dxa"/>
              <w:left w:w="0" w:type="dxa"/>
              <w:bottom w:w="0" w:type="dxa"/>
              <w:right w:w="0" w:type="dxa"/>
            </w:tcMar>
            <w:vAlign w:val="top"/>
          </w:tcPr>
          <w:p w14:paraId="2D37CEE5">
            <w:pPr>
              <w:bidi w:val="0"/>
              <w:jc w:val="right"/>
              <w:rPr>
                <w:rFonts w:hint="default" w:ascii="Arial" w:hAnsi="Arial" w:eastAsia="Arial" w:cs="Arial"/>
                <w:color w:val="000000"/>
                <w:spacing w:val="0"/>
                <w:sz w:val="16"/>
                <w:szCs w:val="16"/>
                <w:lang w:val="pt-BR"/>
              </w:rPr>
            </w:pPr>
            <w:r>
              <w:rPr>
                <w:rFonts w:ascii="Arial" w:hAnsi="Arial" w:eastAsia="Arial" w:cs="Arial"/>
                <w:color w:val="000000"/>
                <w:spacing w:val="0"/>
                <w:sz w:val="16"/>
                <w:szCs w:val="16"/>
              </w:rPr>
              <w:t>202</w:t>
            </w:r>
            <w:r>
              <w:rPr>
                <w:rFonts w:hint="default" w:eastAsia="Arial" w:cs="Arial"/>
                <w:color w:val="000000"/>
                <w:spacing w:val="0"/>
                <w:sz w:val="16"/>
                <w:szCs w:val="16"/>
                <w:lang w:val="pt-BR"/>
              </w:rPr>
              <w:t>6</w:t>
            </w:r>
          </w:p>
        </w:tc>
        <w:tc>
          <w:tcPr>
            <w:tcW w:w="877" w:type="dxa"/>
            <w:noWrap w:val="0"/>
            <w:tcMar>
              <w:top w:w="0" w:type="dxa"/>
              <w:left w:w="0" w:type="dxa"/>
              <w:bottom w:w="0" w:type="dxa"/>
              <w:right w:w="0" w:type="dxa"/>
            </w:tcMar>
            <w:vAlign w:val="top"/>
          </w:tcPr>
          <w:p w14:paraId="5CBC919D">
            <w:pPr>
              <w:bidi w:val="0"/>
              <w:jc w:val="center"/>
              <w:rPr>
                <w:rFonts w:hint="default" w:ascii="Arial" w:hAnsi="Arial" w:eastAsia="Arial" w:cs="Arial"/>
                <w:color w:val="auto"/>
                <w:spacing w:val="0"/>
                <w:sz w:val="16"/>
                <w:szCs w:val="16"/>
                <w:lang w:val="pt-BR"/>
              </w:rPr>
            </w:pPr>
            <w:r>
              <w:rPr>
                <w:rFonts w:hint="default" w:eastAsia="Arial" w:cs="Arial"/>
                <w:color w:val="auto"/>
                <w:spacing w:val="0"/>
                <w:sz w:val="16"/>
                <w:szCs w:val="16"/>
                <w:lang w:val="pt-BR"/>
              </w:rPr>
              <w:t>506</w:t>
            </w:r>
          </w:p>
        </w:tc>
        <w:tc>
          <w:tcPr>
            <w:tcW w:w="547" w:type="dxa"/>
            <w:noWrap w:val="0"/>
            <w:tcMar>
              <w:top w:w="0" w:type="dxa"/>
              <w:left w:w="0" w:type="dxa"/>
              <w:bottom w:w="0" w:type="dxa"/>
              <w:right w:w="0" w:type="dxa"/>
            </w:tcMar>
            <w:vAlign w:val="top"/>
          </w:tcPr>
          <w:p w14:paraId="46D701FB">
            <w:pPr>
              <w:bidi w:val="0"/>
              <w:jc w:val="center"/>
              <w:rPr>
                <w:rFonts w:hint="default" w:ascii="Arial" w:hAnsi="Arial" w:eastAsia="Arial" w:cs="Arial"/>
                <w:color w:val="auto"/>
                <w:spacing w:val="0"/>
                <w:sz w:val="16"/>
                <w:szCs w:val="16"/>
                <w:lang w:val="pt-BR"/>
              </w:rPr>
            </w:pPr>
            <w:r>
              <w:rPr>
                <w:rFonts w:hint="default" w:eastAsia="Arial" w:cs="Arial"/>
                <w:color w:val="auto"/>
                <w:spacing w:val="0"/>
                <w:sz w:val="16"/>
                <w:szCs w:val="16"/>
                <w:lang w:val="pt-BR"/>
              </w:rPr>
              <w:t>5</w:t>
            </w:r>
          </w:p>
        </w:tc>
        <w:tc>
          <w:tcPr>
            <w:tcW w:w="547" w:type="dxa"/>
            <w:noWrap w:val="0"/>
            <w:tcMar>
              <w:top w:w="0" w:type="dxa"/>
              <w:left w:w="0" w:type="dxa"/>
              <w:bottom w:w="0" w:type="dxa"/>
              <w:right w:w="0" w:type="dxa"/>
            </w:tcMar>
            <w:vAlign w:val="top"/>
          </w:tcPr>
          <w:p w14:paraId="6393F237">
            <w:pPr>
              <w:bidi w:val="0"/>
              <w:jc w:val="center"/>
              <w:rPr>
                <w:rFonts w:hint="default" w:ascii="Arial" w:hAnsi="Arial" w:eastAsia="Arial" w:cs="Arial"/>
                <w:color w:val="auto"/>
                <w:spacing w:val="0"/>
                <w:sz w:val="16"/>
                <w:szCs w:val="16"/>
                <w:lang w:val="pt-BR"/>
              </w:rPr>
            </w:pPr>
            <w:r>
              <w:rPr>
                <w:rFonts w:hint="default" w:eastAsia="Arial" w:cs="Arial"/>
                <w:color w:val="auto"/>
                <w:spacing w:val="0"/>
                <w:sz w:val="16"/>
                <w:szCs w:val="16"/>
                <w:lang w:val="pt-BR"/>
              </w:rPr>
              <w:t>1</w:t>
            </w:r>
          </w:p>
        </w:tc>
        <w:tc>
          <w:tcPr>
            <w:tcW w:w="547" w:type="dxa"/>
            <w:noWrap w:val="0"/>
            <w:tcMar>
              <w:top w:w="0" w:type="dxa"/>
              <w:left w:w="0" w:type="dxa"/>
              <w:bottom w:w="0" w:type="dxa"/>
              <w:right w:w="0" w:type="dxa"/>
            </w:tcMar>
            <w:vAlign w:val="top"/>
          </w:tcPr>
          <w:p w14:paraId="13796B37">
            <w:pPr>
              <w:bidi w:val="0"/>
              <w:jc w:val="center"/>
              <w:rPr>
                <w:rFonts w:hint="default" w:ascii="Arial" w:hAnsi="Arial" w:eastAsia="Arial" w:cs="Arial"/>
                <w:color w:val="auto"/>
                <w:spacing w:val="0"/>
                <w:sz w:val="16"/>
                <w:szCs w:val="16"/>
                <w:lang w:val="pt-BR"/>
              </w:rPr>
            </w:pPr>
            <w:r>
              <w:rPr>
                <w:rFonts w:hint="default" w:eastAsia="Arial" w:cs="Arial"/>
                <w:color w:val="auto"/>
                <w:spacing w:val="0"/>
                <w:sz w:val="16"/>
                <w:szCs w:val="16"/>
                <w:lang w:val="pt-BR"/>
              </w:rPr>
              <w:t>2380</w:t>
            </w:r>
          </w:p>
        </w:tc>
        <w:tc>
          <w:tcPr>
            <w:tcW w:w="2190" w:type="dxa"/>
            <w:noWrap w:val="0"/>
            <w:tcMar>
              <w:top w:w="0" w:type="dxa"/>
              <w:left w:w="0" w:type="dxa"/>
              <w:bottom w:w="0" w:type="dxa"/>
              <w:right w:w="0" w:type="dxa"/>
            </w:tcMar>
            <w:vAlign w:val="top"/>
          </w:tcPr>
          <w:p w14:paraId="006F356B">
            <w:pPr>
              <w:bidi w:val="0"/>
              <w:jc w:val="center"/>
              <w:rPr>
                <w:rFonts w:hint="default" w:ascii="Arial" w:hAnsi="Arial" w:eastAsia="Arial" w:cs="Arial"/>
                <w:color w:val="auto"/>
                <w:spacing w:val="0"/>
                <w:sz w:val="16"/>
                <w:szCs w:val="16"/>
                <w:lang w:val="pt-BR"/>
              </w:rPr>
            </w:pPr>
            <w:r>
              <w:rPr>
                <w:rFonts w:hint="default" w:ascii="Arial" w:hAnsi="Arial" w:eastAsia="Arial"/>
                <w:color w:val="auto"/>
                <w:spacing w:val="0"/>
                <w:sz w:val="16"/>
                <w:szCs w:val="16"/>
                <w:lang w:val="pt-BR"/>
              </w:rPr>
              <w:tab/>
            </w:r>
            <w:r>
              <w:rPr>
                <w:rFonts w:hint="default" w:ascii="Arial" w:hAnsi="Arial" w:eastAsia="Arial"/>
                <w:color w:val="auto"/>
                <w:spacing w:val="0"/>
                <w:sz w:val="16"/>
                <w:szCs w:val="16"/>
                <w:lang w:val="pt-BR"/>
              </w:rPr>
              <w:t>3339030540000000</w:t>
            </w:r>
          </w:p>
        </w:tc>
        <w:tc>
          <w:tcPr>
            <w:tcW w:w="767" w:type="dxa"/>
            <w:noWrap w:val="0"/>
            <w:tcMar>
              <w:top w:w="0" w:type="dxa"/>
              <w:left w:w="0" w:type="dxa"/>
              <w:bottom w:w="0" w:type="dxa"/>
              <w:right w:w="0" w:type="dxa"/>
            </w:tcMar>
            <w:vAlign w:val="top"/>
          </w:tcPr>
          <w:p w14:paraId="126A12F3">
            <w:pPr>
              <w:bidi w:val="0"/>
              <w:jc w:val="center"/>
              <w:rPr>
                <w:rFonts w:hint="default" w:ascii="Arial" w:hAnsi="Arial" w:eastAsia="Arial" w:cs="Arial"/>
                <w:color w:val="auto"/>
                <w:spacing w:val="0"/>
                <w:sz w:val="16"/>
                <w:szCs w:val="16"/>
                <w:lang w:val="pt-BR"/>
              </w:rPr>
            </w:pPr>
            <w:r>
              <w:rPr>
                <w:rFonts w:hint="default" w:eastAsia="Arial" w:cs="Arial"/>
                <w:color w:val="auto"/>
                <w:spacing w:val="0"/>
                <w:sz w:val="16"/>
                <w:szCs w:val="16"/>
                <w:lang w:val="pt-BR"/>
              </w:rPr>
              <w:t>0</w:t>
            </w:r>
          </w:p>
        </w:tc>
        <w:tc>
          <w:tcPr>
            <w:tcW w:w="984" w:type="dxa"/>
            <w:noWrap w:val="0"/>
            <w:tcMar>
              <w:top w:w="0" w:type="dxa"/>
              <w:left w:w="0" w:type="dxa"/>
              <w:bottom w:w="0" w:type="dxa"/>
              <w:right w:w="0" w:type="dxa"/>
            </w:tcMar>
            <w:vAlign w:val="top"/>
          </w:tcPr>
          <w:p w14:paraId="09AD0066">
            <w:pPr>
              <w:bidi w:val="0"/>
              <w:jc w:val="center"/>
              <w:rPr>
                <w:rFonts w:ascii="Arial" w:hAnsi="Arial" w:eastAsia="Arial" w:cs="Arial"/>
                <w:color w:val="auto"/>
                <w:spacing w:val="0"/>
                <w:sz w:val="16"/>
                <w:szCs w:val="16"/>
              </w:rPr>
            </w:pPr>
            <w:r>
              <w:rPr>
                <w:rFonts w:ascii="Arial" w:hAnsi="Arial" w:eastAsia="Arial" w:cs="Arial"/>
                <w:color w:val="auto"/>
                <w:spacing w:val="0"/>
                <w:sz w:val="16"/>
                <w:szCs w:val="16"/>
              </w:rPr>
              <w:t>0,00</w:t>
            </w:r>
          </w:p>
        </w:tc>
        <w:tc>
          <w:tcPr>
            <w:tcW w:w="984" w:type="dxa"/>
            <w:noWrap w:val="0"/>
            <w:tcMar>
              <w:top w:w="0" w:type="dxa"/>
              <w:left w:w="0" w:type="dxa"/>
              <w:bottom w:w="0" w:type="dxa"/>
              <w:right w:w="0" w:type="dxa"/>
            </w:tcMar>
            <w:vAlign w:val="top"/>
          </w:tcPr>
          <w:p w14:paraId="51D2F5C2">
            <w:pPr>
              <w:bidi w:val="0"/>
              <w:jc w:val="center"/>
              <w:rPr>
                <w:rFonts w:ascii="Arial" w:hAnsi="Arial" w:eastAsia="Arial" w:cs="Arial"/>
                <w:color w:val="auto"/>
                <w:spacing w:val="0"/>
                <w:sz w:val="16"/>
                <w:szCs w:val="16"/>
              </w:rPr>
            </w:pPr>
            <w:r>
              <w:rPr>
                <w:rFonts w:ascii="Arial" w:hAnsi="Arial" w:eastAsia="Arial" w:cs="Arial"/>
                <w:color w:val="auto"/>
                <w:spacing w:val="0"/>
                <w:sz w:val="16"/>
                <w:szCs w:val="16"/>
              </w:rPr>
              <w:t>Ativo</w:t>
            </w:r>
          </w:p>
        </w:tc>
        <w:tc>
          <w:tcPr>
            <w:tcW w:w="767" w:type="dxa"/>
            <w:noWrap w:val="0"/>
            <w:tcMar>
              <w:top w:w="0" w:type="dxa"/>
              <w:left w:w="0" w:type="dxa"/>
              <w:bottom w:w="0" w:type="dxa"/>
              <w:right w:w="0" w:type="dxa"/>
            </w:tcMar>
            <w:vAlign w:val="top"/>
          </w:tcPr>
          <w:p w14:paraId="4C8578C4">
            <w:pPr>
              <w:bidi w:val="0"/>
              <w:jc w:val="center"/>
              <w:rPr>
                <w:rFonts w:ascii="Arial" w:hAnsi="Arial" w:eastAsia="Arial" w:cs="Arial"/>
                <w:color w:val="auto"/>
                <w:spacing w:val="0"/>
                <w:sz w:val="16"/>
                <w:szCs w:val="16"/>
              </w:rPr>
            </w:pPr>
            <w:r>
              <w:rPr>
                <w:rFonts w:ascii="Arial" w:hAnsi="Arial" w:eastAsia="Arial" w:cs="Arial"/>
                <w:color w:val="auto"/>
                <w:spacing w:val="0"/>
                <w:sz w:val="16"/>
                <w:szCs w:val="16"/>
              </w:rPr>
              <w:t>Não</w:t>
            </w:r>
          </w:p>
        </w:tc>
      </w:tr>
      <w:tr w14:paraId="0554F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shd w:val="clear" w:color="auto" w:fill="auto"/>
            <w:noWrap w:val="0"/>
            <w:tcMar>
              <w:top w:w="0" w:type="dxa"/>
              <w:left w:w="0" w:type="dxa"/>
              <w:bottom w:w="0" w:type="dxa"/>
              <w:right w:w="0" w:type="dxa"/>
            </w:tcMar>
            <w:vAlign w:val="top"/>
          </w:tcPr>
          <w:p w14:paraId="7D35A1F1">
            <w:pPr>
              <w:bidi w:val="0"/>
              <w:rPr>
                <w:rFonts w:ascii="Arial" w:hAnsi="Arial" w:eastAsia="Arial" w:cs="Arial"/>
                <w:color w:val="000000"/>
                <w:spacing w:val="0"/>
                <w:kern w:val="0"/>
                <w:sz w:val="16"/>
                <w:szCs w:val="16"/>
                <w:lang w:val="pt-BR" w:eastAsia="en-US" w:bidi="ar-SA"/>
              </w:rPr>
            </w:pPr>
            <w:r>
              <w:rPr>
                <w:rFonts w:ascii="Arial" w:hAnsi="Arial" w:eastAsia="Arial" w:cs="Arial"/>
                <w:color w:val="000000"/>
                <w:spacing w:val="0"/>
                <w:sz w:val="16"/>
                <w:szCs w:val="16"/>
              </w:rPr>
              <w:t>MUNICÍPIO DE PARANAVAÍ</w:t>
            </w:r>
          </w:p>
        </w:tc>
        <w:tc>
          <w:tcPr>
            <w:tcW w:w="438" w:type="dxa"/>
            <w:shd w:val="clear" w:color="auto" w:fill="auto"/>
            <w:noWrap w:val="0"/>
            <w:tcMar>
              <w:top w:w="0" w:type="dxa"/>
              <w:left w:w="0" w:type="dxa"/>
              <w:bottom w:w="0" w:type="dxa"/>
              <w:right w:w="0" w:type="dxa"/>
            </w:tcMar>
            <w:vAlign w:val="top"/>
          </w:tcPr>
          <w:p w14:paraId="69584B21">
            <w:pPr>
              <w:bidi w:val="0"/>
              <w:jc w:val="right"/>
              <w:rPr>
                <w:rFonts w:hint="default" w:ascii="Arial" w:hAnsi="Arial" w:eastAsia="Arial" w:cs="Arial"/>
                <w:color w:val="000000"/>
                <w:spacing w:val="0"/>
                <w:kern w:val="0"/>
                <w:sz w:val="16"/>
                <w:szCs w:val="16"/>
                <w:lang w:val="pt-BR" w:eastAsia="en-US" w:bidi="ar-SA"/>
              </w:rPr>
            </w:pPr>
            <w:r>
              <w:rPr>
                <w:rFonts w:ascii="Arial" w:hAnsi="Arial" w:eastAsia="Arial" w:cs="Arial"/>
                <w:color w:val="000000"/>
                <w:spacing w:val="0"/>
                <w:sz w:val="16"/>
                <w:szCs w:val="16"/>
              </w:rPr>
              <w:t>202</w:t>
            </w:r>
            <w:r>
              <w:rPr>
                <w:rFonts w:hint="default" w:eastAsia="Arial" w:cs="Arial"/>
                <w:color w:val="000000"/>
                <w:spacing w:val="0"/>
                <w:sz w:val="16"/>
                <w:szCs w:val="16"/>
                <w:lang w:val="pt-BR"/>
              </w:rPr>
              <w:t>6</w:t>
            </w:r>
          </w:p>
        </w:tc>
        <w:tc>
          <w:tcPr>
            <w:tcW w:w="877" w:type="dxa"/>
            <w:shd w:val="clear" w:color="auto" w:fill="auto"/>
            <w:noWrap w:val="0"/>
            <w:tcMar>
              <w:top w:w="0" w:type="dxa"/>
              <w:left w:w="0" w:type="dxa"/>
              <w:bottom w:w="0" w:type="dxa"/>
              <w:right w:w="0" w:type="dxa"/>
            </w:tcMar>
            <w:vAlign w:val="top"/>
          </w:tcPr>
          <w:p w14:paraId="6C70D2A3">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520</w:t>
            </w:r>
          </w:p>
        </w:tc>
        <w:tc>
          <w:tcPr>
            <w:tcW w:w="547" w:type="dxa"/>
            <w:shd w:val="clear" w:color="auto" w:fill="auto"/>
            <w:noWrap w:val="0"/>
            <w:tcMar>
              <w:top w:w="0" w:type="dxa"/>
              <w:left w:w="0" w:type="dxa"/>
              <w:bottom w:w="0" w:type="dxa"/>
              <w:right w:w="0" w:type="dxa"/>
            </w:tcMar>
            <w:vAlign w:val="top"/>
          </w:tcPr>
          <w:p w14:paraId="059BCF32">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5</w:t>
            </w:r>
          </w:p>
        </w:tc>
        <w:tc>
          <w:tcPr>
            <w:tcW w:w="547" w:type="dxa"/>
            <w:shd w:val="clear" w:color="auto" w:fill="auto"/>
            <w:noWrap w:val="0"/>
            <w:tcMar>
              <w:top w:w="0" w:type="dxa"/>
              <w:left w:w="0" w:type="dxa"/>
              <w:bottom w:w="0" w:type="dxa"/>
              <w:right w:w="0" w:type="dxa"/>
            </w:tcMar>
            <w:vAlign w:val="top"/>
          </w:tcPr>
          <w:p w14:paraId="38E32C78">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1</w:t>
            </w:r>
          </w:p>
        </w:tc>
        <w:tc>
          <w:tcPr>
            <w:tcW w:w="547" w:type="dxa"/>
            <w:shd w:val="clear" w:color="auto" w:fill="auto"/>
            <w:noWrap w:val="0"/>
            <w:tcMar>
              <w:top w:w="0" w:type="dxa"/>
              <w:left w:w="0" w:type="dxa"/>
              <w:bottom w:w="0" w:type="dxa"/>
              <w:right w:w="0" w:type="dxa"/>
            </w:tcMar>
            <w:vAlign w:val="top"/>
          </w:tcPr>
          <w:p w14:paraId="136E4B0A">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2390</w:t>
            </w:r>
          </w:p>
        </w:tc>
        <w:tc>
          <w:tcPr>
            <w:tcW w:w="2190" w:type="dxa"/>
            <w:shd w:val="clear" w:color="auto" w:fill="auto"/>
            <w:noWrap w:val="0"/>
            <w:tcMar>
              <w:top w:w="0" w:type="dxa"/>
              <w:left w:w="0" w:type="dxa"/>
              <w:bottom w:w="0" w:type="dxa"/>
              <w:right w:w="0" w:type="dxa"/>
            </w:tcMar>
            <w:vAlign w:val="top"/>
          </w:tcPr>
          <w:p w14:paraId="244739A3">
            <w:pPr>
              <w:bidi w:val="0"/>
              <w:jc w:val="center"/>
              <w:rPr>
                <w:rFonts w:hint="default" w:ascii="Arial" w:hAnsi="Arial" w:eastAsia="Arial" w:cs="Arial"/>
                <w:color w:val="auto"/>
                <w:spacing w:val="0"/>
                <w:kern w:val="0"/>
                <w:sz w:val="16"/>
                <w:szCs w:val="16"/>
                <w:lang w:val="pt-BR" w:eastAsia="en-US" w:bidi="ar-SA"/>
              </w:rPr>
            </w:pPr>
            <w:r>
              <w:rPr>
                <w:rFonts w:hint="default" w:ascii="Arial" w:hAnsi="Arial" w:eastAsia="Arial"/>
                <w:color w:val="auto"/>
                <w:spacing w:val="0"/>
                <w:sz w:val="16"/>
                <w:szCs w:val="16"/>
                <w:lang w:val="pt-BR"/>
              </w:rPr>
              <w:tab/>
            </w:r>
            <w:r>
              <w:rPr>
                <w:rFonts w:hint="default" w:ascii="Arial" w:hAnsi="Arial" w:eastAsia="Arial"/>
                <w:color w:val="auto"/>
                <w:spacing w:val="0"/>
                <w:sz w:val="16"/>
                <w:szCs w:val="16"/>
                <w:lang w:val="pt-BR"/>
              </w:rPr>
              <w:t>3339030540000000</w:t>
            </w:r>
          </w:p>
        </w:tc>
        <w:tc>
          <w:tcPr>
            <w:tcW w:w="767" w:type="dxa"/>
            <w:shd w:val="clear" w:color="auto" w:fill="auto"/>
            <w:noWrap w:val="0"/>
            <w:tcMar>
              <w:top w:w="0" w:type="dxa"/>
              <w:left w:w="0" w:type="dxa"/>
              <w:bottom w:w="0" w:type="dxa"/>
              <w:right w:w="0" w:type="dxa"/>
            </w:tcMar>
            <w:vAlign w:val="top"/>
          </w:tcPr>
          <w:p w14:paraId="389BFE56">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504</w:t>
            </w:r>
          </w:p>
        </w:tc>
        <w:tc>
          <w:tcPr>
            <w:tcW w:w="984" w:type="dxa"/>
            <w:shd w:val="clear" w:color="auto" w:fill="auto"/>
            <w:noWrap w:val="0"/>
            <w:tcMar>
              <w:top w:w="0" w:type="dxa"/>
              <w:left w:w="0" w:type="dxa"/>
              <w:bottom w:w="0" w:type="dxa"/>
              <w:right w:w="0" w:type="dxa"/>
            </w:tcMar>
            <w:vAlign w:val="top"/>
          </w:tcPr>
          <w:p w14:paraId="1D2BA28B">
            <w:pPr>
              <w:bidi w:val="0"/>
              <w:jc w:val="center"/>
              <w:rPr>
                <w:rFonts w:ascii="Arial" w:hAnsi="Arial" w:eastAsia="Arial" w:cs="Arial"/>
                <w:color w:val="auto"/>
                <w:spacing w:val="0"/>
                <w:kern w:val="0"/>
                <w:sz w:val="16"/>
                <w:szCs w:val="16"/>
                <w:lang w:val="pt-BR" w:eastAsia="en-US" w:bidi="ar-SA"/>
              </w:rPr>
            </w:pPr>
            <w:r>
              <w:rPr>
                <w:rFonts w:ascii="Arial" w:hAnsi="Arial" w:eastAsia="Arial" w:cs="Arial"/>
                <w:color w:val="auto"/>
                <w:spacing w:val="0"/>
                <w:sz w:val="16"/>
                <w:szCs w:val="16"/>
              </w:rPr>
              <w:t>0,00</w:t>
            </w:r>
          </w:p>
        </w:tc>
        <w:tc>
          <w:tcPr>
            <w:tcW w:w="984" w:type="dxa"/>
            <w:shd w:val="clear" w:color="auto" w:fill="auto"/>
            <w:noWrap w:val="0"/>
            <w:tcMar>
              <w:top w:w="0" w:type="dxa"/>
              <w:left w:w="0" w:type="dxa"/>
              <w:bottom w:w="0" w:type="dxa"/>
              <w:right w:w="0" w:type="dxa"/>
            </w:tcMar>
            <w:vAlign w:val="top"/>
          </w:tcPr>
          <w:p w14:paraId="1A105870">
            <w:pPr>
              <w:bidi w:val="0"/>
              <w:jc w:val="center"/>
              <w:rPr>
                <w:rFonts w:ascii="Arial" w:hAnsi="Arial" w:eastAsia="Arial" w:cs="Arial"/>
                <w:color w:val="auto"/>
                <w:spacing w:val="0"/>
                <w:kern w:val="0"/>
                <w:sz w:val="16"/>
                <w:szCs w:val="16"/>
                <w:lang w:val="pt-BR" w:eastAsia="en-US" w:bidi="ar-SA"/>
              </w:rPr>
            </w:pPr>
            <w:r>
              <w:rPr>
                <w:rFonts w:ascii="Arial" w:hAnsi="Arial" w:eastAsia="Arial" w:cs="Arial"/>
                <w:color w:val="auto"/>
                <w:spacing w:val="0"/>
                <w:sz w:val="16"/>
                <w:szCs w:val="16"/>
              </w:rPr>
              <w:t>Ativo</w:t>
            </w:r>
          </w:p>
        </w:tc>
        <w:tc>
          <w:tcPr>
            <w:tcW w:w="767" w:type="dxa"/>
            <w:shd w:val="clear" w:color="auto" w:fill="auto"/>
            <w:noWrap w:val="0"/>
            <w:tcMar>
              <w:top w:w="0" w:type="dxa"/>
              <w:left w:w="0" w:type="dxa"/>
              <w:bottom w:w="0" w:type="dxa"/>
              <w:right w:w="0" w:type="dxa"/>
            </w:tcMar>
            <w:vAlign w:val="top"/>
          </w:tcPr>
          <w:p w14:paraId="62D10E06">
            <w:pPr>
              <w:bidi w:val="0"/>
              <w:jc w:val="center"/>
              <w:rPr>
                <w:rFonts w:ascii="Arial" w:hAnsi="Arial" w:eastAsia="Arial" w:cs="Arial"/>
                <w:color w:val="auto"/>
                <w:spacing w:val="0"/>
                <w:kern w:val="0"/>
                <w:sz w:val="16"/>
                <w:szCs w:val="16"/>
                <w:lang w:val="pt-BR" w:eastAsia="en-US" w:bidi="ar-SA"/>
              </w:rPr>
            </w:pPr>
            <w:r>
              <w:rPr>
                <w:rFonts w:ascii="Arial" w:hAnsi="Arial" w:eastAsia="Arial" w:cs="Arial"/>
                <w:color w:val="auto"/>
                <w:spacing w:val="0"/>
                <w:sz w:val="16"/>
                <w:szCs w:val="16"/>
              </w:rPr>
              <w:t>Não</w:t>
            </w:r>
          </w:p>
        </w:tc>
      </w:tr>
      <w:tr w14:paraId="28A9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5" w:type="dxa"/>
            <w:shd w:val="clear" w:color="auto" w:fill="auto"/>
            <w:noWrap w:val="0"/>
            <w:tcMar>
              <w:top w:w="0" w:type="dxa"/>
              <w:left w:w="0" w:type="dxa"/>
              <w:bottom w:w="0" w:type="dxa"/>
              <w:right w:w="0" w:type="dxa"/>
            </w:tcMar>
            <w:vAlign w:val="top"/>
          </w:tcPr>
          <w:p w14:paraId="2C50167E">
            <w:pPr>
              <w:bidi w:val="0"/>
              <w:rPr>
                <w:rFonts w:ascii="Arial" w:hAnsi="Arial" w:eastAsia="Arial" w:cs="Arial"/>
                <w:color w:val="000000"/>
                <w:spacing w:val="0"/>
                <w:kern w:val="0"/>
                <w:sz w:val="16"/>
                <w:szCs w:val="16"/>
                <w:lang w:val="pt-BR" w:eastAsia="en-US" w:bidi="ar-SA"/>
              </w:rPr>
            </w:pPr>
            <w:r>
              <w:rPr>
                <w:rFonts w:ascii="Arial" w:hAnsi="Arial" w:eastAsia="Arial" w:cs="Arial"/>
                <w:color w:val="000000"/>
                <w:spacing w:val="0"/>
                <w:sz w:val="16"/>
                <w:szCs w:val="16"/>
              </w:rPr>
              <w:t>MUNICÍPIO DE PARANAVAÍ</w:t>
            </w:r>
          </w:p>
        </w:tc>
        <w:tc>
          <w:tcPr>
            <w:tcW w:w="438" w:type="dxa"/>
            <w:shd w:val="clear" w:color="auto" w:fill="auto"/>
            <w:noWrap w:val="0"/>
            <w:tcMar>
              <w:top w:w="0" w:type="dxa"/>
              <w:left w:w="0" w:type="dxa"/>
              <w:bottom w:w="0" w:type="dxa"/>
              <w:right w:w="0" w:type="dxa"/>
            </w:tcMar>
            <w:vAlign w:val="top"/>
          </w:tcPr>
          <w:p w14:paraId="5676F2F0">
            <w:pPr>
              <w:bidi w:val="0"/>
              <w:jc w:val="right"/>
              <w:rPr>
                <w:rFonts w:hint="default" w:ascii="Arial" w:hAnsi="Arial" w:eastAsia="Arial" w:cs="Arial"/>
                <w:color w:val="000000"/>
                <w:spacing w:val="0"/>
                <w:kern w:val="0"/>
                <w:sz w:val="16"/>
                <w:szCs w:val="16"/>
                <w:lang w:val="pt-BR" w:eastAsia="en-US" w:bidi="ar-SA"/>
              </w:rPr>
            </w:pPr>
            <w:r>
              <w:rPr>
                <w:rFonts w:ascii="Arial" w:hAnsi="Arial" w:eastAsia="Arial" w:cs="Arial"/>
                <w:color w:val="000000"/>
                <w:spacing w:val="0"/>
                <w:sz w:val="16"/>
                <w:szCs w:val="16"/>
              </w:rPr>
              <w:t>202</w:t>
            </w:r>
            <w:r>
              <w:rPr>
                <w:rFonts w:hint="default" w:eastAsia="Arial" w:cs="Arial"/>
                <w:color w:val="000000"/>
                <w:spacing w:val="0"/>
                <w:sz w:val="16"/>
                <w:szCs w:val="16"/>
                <w:lang w:val="pt-BR"/>
              </w:rPr>
              <w:t>6</w:t>
            </w:r>
          </w:p>
        </w:tc>
        <w:tc>
          <w:tcPr>
            <w:tcW w:w="877" w:type="dxa"/>
            <w:shd w:val="clear" w:color="auto" w:fill="auto"/>
            <w:noWrap w:val="0"/>
            <w:tcMar>
              <w:top w:w="0" w:type="dxa"/>
              <w:left w:w="0" w:type="dxa"/>
              <w:bottom w:w="0" w:type="dxa"/>
              <w:right w:w="0" w:type="dxa"/>
            </w:tcMar>
            <w:vAlign w:val="top"/>
          </w:tcPr>
          <w:p w14:paraId="64E3D6C1">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kern w:val="0"/>
                <w:sz w:val="16"/>
                <w:szCs w:val="16"/>
                <w:lang w:val="pt-BR" w:eastAsia="en-US" w:bidi="ar-SA"/>
              </w:rPr>
              <w:t>521</w:t>
            </w:r>
          </w:p>
        </w:tc>
        <w:tc>
          <w:tcPr>
            <w:tcW w:w="547" w:type="dxa"/>
            <w:shd w:val="clear" w:color="auto" w:fill="auto"/>
            <w:noWrap w:val="0"/>
            <w:tcMar>
              <w:top w:w="0" w:type="dxa"/>
              <w:left w:w="0" w:type="dxa"/>
              <w:bottom w:w="0" w:type="dxa"/>
              <w:right w:w="0" w:type="dxa"/>
            </w:tcMar>
            <w:vAlign w:val="top"/>
          </w:tcPr>
          <w:p w14:paraId="643D0C3D">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5</w:t>
            </w:r>
          </w:p>
        </w:tc>
        <w:tc>
          <w:tcPr>
            <w:tcW w:w="547" w:type="dxa"/>
            <w:shd w:val="clear" w:color="auto" w:fill="auto"/>
            <w:noWrap w:val="0"/>
            <w:tcMar>
              <w:top w:w="0" w:type="dxa"/>
              <w:left w:w="0" w:type="dxa"/>
              <w:bottom w:w="0" w:type="dxa"/>
              <w:right w:w="0" w:type="dxa"/>
            </w:tcMar>
            <w:vAlign w:val="top"/>
          </w:tcPr>
          <w:p w14:paraId="25F862E2">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1</w:t>
            </w:r>
          </w:p>
        </w:tc>
        <w:tc>
          <w:tcPr>
            <w:tcW w:w="547" w:type="dxa"/>
            <w:shd w:val="clear" w:color="auto" w:fill="auto"/>
            <w:noWrap w:val="0"/>
            <w:tcMar>
              <w:top w:w="0" w:type="dxa"/>
              <w:left w:w="0" w:type="dxa"/>
              <w:bottom w:w="0" w:type="dxa"/>
              <w:right w:w="0" w:type="dxa"/>
            </w:tcMar>
            <w:vAlign w:val="top"/>
          </w:tcPr>
          <w:p w14:paraId="11A0A5DE">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2390</w:t>
            </w:r>
          </w:p>
        </w:tc>
        <w:tc>
          <w:tcPr>
            <w:tcW w:w="2190" w:type="dxa"/>
            <w:shd w:val="clear" w:color="auto" w:fill="auto"/>
            <w:noWrap w:val="0"/>
            <w:tcMar>
              <w:top w:w="0" w:type="dxa"/>
              <w:left w:w="0" w:type="dxa"/>
              <w:bottom w:w="0" w:type="dxa"/>
              <w:right w:w="0" w:type="dxa"/>
            </w:tcMar>
            <w:vAlign w:val="top"/>
          </w:tcPr>
          <w:p w14:paraId="1763C282">
            <w:pPr>
              <w:bidi w:val="0"/>
              <w:jc w:val="center"/>
              <w:rPr>
                <w:rFonts w:hint="default" w:ascii="Arial" w:hAnsi="Arial" w:eastAsia="Arial" w:cs="Arial"/>
                <w:color w:val="auto"/>
                <w:spacing w:val="0"/>
                <w:kern w:val="0"/>
                <w:sz w:val="16"/>
                <w:szCs w:val="16"/>
                <w:lang w:val="pt-BR" w:eastAsia="en-US" w:bidi="ar-SA"/>
              </w:rPr>
            </w:pPr>
            <w:r>
              <w:rPr>
                <w:rFonts w:hint="default" w:ascii="Arial" w:hAnsi="Arial" w:eastAsia="Arial"/>
                <w:color w:val="auto"/>
                <w:spacing w:val="0"/>
                <w:sz w:val="16"/>
                <w:szCs w:val="16"/>
                <w:lang w:val="pt-BR"/>
              </w:rPr>
              <w:tab/>
            </w:r>
            <w:r>
              <w:rPr>
                <w:rFonts w:hint="default" w:ascii="Arial" w:hAnsi="Arial" w:eastAsia="Arial"/>
                <w:color w:val="auto"/>
                <w:spacing w:val="0"/>
                <w:sz w:val="16"/>
                <w:szCs w:val="16"/>
                <w:lang w:val="pt-BR"/>
              </w:rPr>
              <w:t>3339030540000000</w:t>
            </w:r>
          </w:p>
        </w:tc>
        <w:tc>
          <w:tcPr>
            <w:tcW w:w="767" w:type="dxa"/>
            <w:shd w:val="clear" w:color="auto" w:fill="auto"/>
            <w:noWrap w:val="0"/>
            <w:tcMar>
              <w:top w:w="0" w:type="dxa"/>
              <w:left w:w="0" w:type="dxa"/>
              <w:bottom w:w="0" w:type="dxa"/>
              <w:right w:w="0" w:type="dxa"/>
            </w:tcMar>
            <w:vAlign w:val="top"/>
          </w:tcPr>
          <w:p w14:paraId="4EC56ADF">
            <w:pPr>
              <w:bidi w:val="0"/>
              <w:jc w:val="center"/>
              <w:rPr>
                <w:rFonts w:hint="default" w:ascii="Arial" w:hAnsi="Arial" w:eastAsia="Arial" w:cs="Arial"/>
                <w:color w:val="auto"/>
                <w:spacing w:val="0"/>
                <w:kern w:val="0"/>
                <w:sz w:val="16"/>
                <w:szCs w:val="16"/>
                <w:lang w:val="pt-BR" w:eastAsia="en-US" w:bidi="ar-SA"/>
              </w:rPr>
            </w:pPr>
            <w:r>
              <w:rPr>
                <w:rFonts w:hint="default" w:eastAsia="Arial" w:cs="Arial"/>
                <w:color w:val="auto"/>
                <w:spacing w:val="0"/>
                <w:sz w:val="16"/>
                <w:szCs w:val="16"/>
                <w:lang w:val="pt-BR"/>
              </w:rPr>
              <w:t>512</w:t>
            </w:r>
          </w:p>
        </w:tc>
        <w:tc>
          <w:tcPr>
            <w:tcW w:w="984" w:type="dxa"/>
            <w:shd w:val="clear" w:color="auto" w:fill="auto"/>
            <w:noWrap w:val="0"/>
            <w:tcMar>
              <w:top w:w="0" w:type="dxa"/>
              <w:left w:w="0" w:type="dxa"/>
              <w:bottom w:w="0" w:type="dxa"/>
              <w:right w:w="0" w:type="dxa"/>
            </w:tcMar>
            <w:vAlign w:val="top"/>
          </w:tcPr>
          <w:p w14:paraId="31B9ACED">
            <w:pPr>
              <w:bidi w:val="0"/>
              <w:jc w:val="center"/>
              <w:rPr>
                <w:rFonts w:ascii="Arial" w:hAnsi="Arial" w:eastAsia="Arial" w:cs="Arial"/>
                <w:color w:val="auto"/>
                <w:spacing w:val="0"/>
                <w:kern w:val="0"/>
                <w:sz w:val="16"/>
                <w:szCs w:val="16"/>
                <w:lang w:val="pt-BR" w:eastAsia="en-US" w:bidi="ar-SA"/>
              </w:rPr>
            </w:pPr>
            <w:r>
              <w:rPr>
                <w:rFonts w:ascii="Arial" w:hAnsi="Arial" w:eastAsia="Arial" w:cs="Arial"/>
                <w:color w:val="auto"/>
                <w:spacing w:val="0"/>
                <w:sz w:val="16"/>
                <w:szCs w:val="16"/>
              </w:rPr>
              <w:t>0,00</w:t>
            </w:r>
          </w:p>
        </w:tc>
        <w:tc>
          <w:tcPr>
            <w:tcW w:w="984" w:type="dxa"/>
            <w:shd w:val="clear" w:color="auto" w:fill="auto"/>
            <w:noWrap w:val="0"/>
            <w:tcMar>
              <w:top w:w="0" w:type="dxa"/>
              <w:left w:w="0" w:type="dxa"/>
              <w:bottom w:w="0" w:type="dxa"/>
              <w:right w:w="0" w:type="dxa"/>
            </w:tcMar>
            <w:vAlign w:val="top"/>
          </w:tcPr>
          <w:p w14:paraId="78B6A84E">
            <w:pPr>
              <w:bidi w:val="0"/>
              <w:jc w:val="center"/>
              <w:rPr>
                <w:rFonts w:ascii="Arial" w:hAnsi="Arial" w:eastAsia="Arial" w:cs="Arial"/>
                <w:color w:val="auto"/>
                <w:spacing w:val="0"/>
                <w:kern w:val="0"/>
                <w:sz w:val="16"/>
                <w:szCs w:val="16"/>
                <w:lang w:val="pt-BR" w:eastAsia="en-US" w:bidi="ar-SA"/>
              </w:rPr>
            </w:pPr>
            <w:r>
              <w:rPr>
                <w:rFonts w:ascii="Arial" w:hAnsi="Arial" w:eastAsia="Arial" w:cs="Arial"/>
                <w:color w:val="auto"/>
                <w:spacing w:val="0"/>
                <w:sz w:val="16"/>
                <w:szCs w:val="16"/>
              </w:rPr>
              <w:t>Ativo</w:t>
            </w:r>
          </w:p>
        </w:tc>
        <w:tc>
          <w:tcPr>
            <w:tcW w:w="767" w:type="dxa"/>
            <w:shd w:val="clear" w:color="auto" w:fill="auto"/>
            <w:noWrap w:val="0"/>
            <w:tcMar>
              <w:top w:w="0" w:type="dxa"/>
              <w:left w:w="0" w:type="dxa"/>
              <w:bottom w:w="0" w:type="dxa"/>
              <w:right w:w="0" w:type="dxa"/>
            </w:tcMar>
            <w:vAlign w:val="top"/>
          </w:tcPr>
          <w:p w14:paraId="02A18A43">
            <w:pPr>
              <w:bidi w:val="0"/>
              <w:jc w:val="center"/>
              <w:rPr>
                <w:rFonts w:ascii="Arial" w:hAnsi="Arial" w:eastAsia="Arial" w:cs="Arial"/>
                <w:color w:val="auto"/>
                <w:spacing w:val="0"/>
                <w:kern w:val="0"/>
                <w:sz w:val="16"/>
                <w:szCs w:val="16"/>
                <w:lang w:val="pt-BR" w:eastAsia="en-US" w:bidi="ar-SA"/>
              </w:rPr>
            </w:pPr>
            <w:r>
              <w:rPr>
                <w:rFonts w:ascii="Arial" w:hAnsi="Arial" w:eastAsia="Arial" w:cs="Arial"/>
                <w:color w:val="auto"/>
                <w:spacing w:val="0"/>
                <w:sz w:val="16"/>
                <w:szCs w:val="16"/>
              </w:rPr>
              <w:t>Não</w:t>
            </w:r>
          </w:p>
        </w:tc>
      </w:tr>
    </w:tbl>
    <w:p w14:paraId="7DADA06B">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bookmarkStart w:id="11" w:name="__bookmark_1"/>
      <w:bookmarkEnd w:id="11"/>
      <w:r>
        <w:rPr>
          <w:rFonts w:cs="Arial"/>
          <w:b/>
        </w:rPr>
        <w:t>VALOR A SER PAGO PELO OBJETO</w:t>
      </w:r>
    </w:p>
    <w:p w14:paraId="08168C3C">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Pelo objeto deste contrato, o contratante pagará ao contratado o valor </w:t>
      </w:r>
      <w:r>
        <w:rPr>
          <w:rFonts w:hint="default" w:cs="Arial"/>
          <w:lang w:val="pt-BR"/>
        </w:rPr>
        <w:t xml:space="preserve">estimado </w:t>
      </w:r>
      <w:r>
        <w:rPr>
          <w:rFonts w:cs="Arial"/>
        </w:rPr>
        <w:t>de R$ ......, incluídos os tributos incidentes sobre a transação, fretes e demais despesas para a execução do contrato, não cabendo ao contratante nenhum outro ônus.</w:t>
      </w:r>
    </w:p>
    <w:p w14:paraId="33031947">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As quantidades e preços unitários estão indicadas na proposta ajustada do contratado, que faz parte deste contrato.</w:t>
      </w:r>
    </w:p>
    <w:p w14:paraId="2083B439">
      <w:pPr>
        <w:pStyle w:val="41"/>
        <w:keepNext/>
        <w:numPr>
          <w:ilvl w:val="0"/>
          <w:numId w:val="19"/>
        </w:numPr>
        <w:pBdr>
          <w:bottom w:val="thinThickMediumGap" w:color="000000" w:sz="24" w:space="1"/>
        </w:pBdr>
        <w:tabs>
          <w:tab w:val="left" w:pos="0"/>
          <w:tab w:val="left" w:pos="2127"/>
        </w:tabs>
        <w:spacing w:before="360" w:after="0" w:line="264" w:lineRule="auto"/>
        <w:ind w:left="0" w:firstLine="0"/>
        <w:contextualSpacing w:val="0"/>
        <w:jc w:val="both"/>
        <w:rPr>
          <w:rFonts w:cs="Arial"/>
          <w:b/>
        </w:rPr>
      </w:pPr>
      <w:r>
        <w:rPr>
          <w:rFonts w:cs="Arial"/>
          <w:b/>
          <w:bCs/>
        </w:rPr>
        <w:t xml:space="preserve">CONDIÇÕES </w:t>
      </w:r>
      <w:r>
        <w:rPr>
          <w:rFonts w:cs="Arial"/>
          <w:b/>
        </w:rPr>
        <w:t>DE PAGAMENTO</w:t>
      </w:r>
    </w:p>
    <w:p w14:paraId="2A53B029">
      <w:pPr>
        <w:pStyle w:val="41"/>
        <w:numPr>
          <w:ilvl w:val="1"/>
          <w:numId w:val="19"/>
        </w:numPr>
        <w:tabs>
          <w:tab w:val="left" w:pos="0"/>
          <w:tab w:val="left" w:pos="567"/>
          <w:tab w:val="left" w:pos="1843"/>
        </w:tabs>
        <w:spacing w:before="0" w:after="0"/>
        <w:ind w:left="0" w:firstLine="0"/>
        <w:contextualSpacing w:val="0"/>
        <w:jc w:val="both"/>
        <w:rPr>
          <w:rFonts w:cs="Arial"/>
        </w:rPr>
      </w:pPr>
      <w:r>
        <w:rPr>
          <w:rFonts w:cs="Arial"/>
        </w:rPr>
        <w:t xml:space="preserve">O pagamento ocorrerá em até </w:t>
      </w:r>
      <w:r>
        <w:rPr>
          <w:rFonts w:hint="default" w:cs="Arial"/>
          <w:lang w:val="pt-BR"/>
        </w:rPr>
        <w:t>30</w:t>
      </w:r>
      <w:r>
        <w:rPr>
          <w:lang w:val="pt-BR"/>
        </w:rPr>
        <w:t>(</w:t>
      </w:r>
      <w:r>
        <w:rPr>
          <w:rFonts w:hint="default"/>
          <w:lang w:val="pt-BR"/>
        </w:rPr>
        <w:t>trinta</w:t>
      </w:r>
      <w:r>
        <w:rPr>
          <w:lang w:val="pt-BR"/>
        </w:rPr>
        <w:t>)</w:t>
      </w:r>
      <w:r>
        <w:t xml:space="preserve"> dias </w:t>
      </w:r>
      <w:r>
        <w:rPr>
          <w:rFonts w:cs="Arial"/>
        </w:rPr>
        <w:t xml:space="preserve">, </w:t>
      </w:r>
      <w:r>
        <w:rPr>
          <w:rFonts w:cs="Arial"/>
          <w:kern w:val="0"/>
          <w:sz w:val="24"/>
          <w:szCs w:val="24"/>
          <w:lang w:val="pt-BR" w:eastAsia="zh-CN" w:bidi="ar-SA"/>
        </w:rPr>
        <w:t xml:space="preserve">contados da </w:t>
      </w:r>
      <w:r>
        <w:rPr>
          <w:rFonts w:hint="default" w:cs="Arial"/>
          <w:kern w:val="0"/>
          <w:sz w:val="24"/>
          <w:szCs w:val="24"/>
          <w:lang w:val="pt-BR" w:eastAsia="zh-CN" w:bidi="ar-SA"/>
        </w:rPr>
        <w:t>entrega dos produtos</w:t>
      </w:r>
      <w:r>
        <w:rPr>
          <w:rFonts w:cs="Arial"/>
          <w:kern w:val="0"/>
          <w:sz w:val="24"/>
          <w:szCs w:val="24"/>
          <w:lang w:val="pt-BR" w:eastAsia="zh-CN" w:bidi="ar-SA"/>
        </w:rPr>
        <w:t xml:space="preserve">, mediante envio da Nota fiscal e relatório do fiscal do contrato, </w:t>
      </w:r>
      <w:r>
        <w:rPr>
          <w:rFonts w:cs="Arial"/>
        </w:rPr>
        <w:t xml:space="preserve">sendo que este prazo </w:t>
      </w:r>
      <w:r>
        <w:rPr>
          <w:rFonts w:hint="default" w:cs="Arial"/>
          <w:lang w:val="pt-BR"/>
        </w:rPr>
        <w:t xml:space="preserve">não </w:t>
      </w:r>
      <w:r>
        <w:rPr>
          <w:rFonts w:cs="Arial"/>
        </w:rPr>
        <w:t>é similar com a iniciativa privada.</w:t>
      </w:r>
    </w:p>
    <w:p w14:paraId="445EA8C9">
      <w:pPr>
        <w:pStyle w:val="41"/>
        <w:numPr>
          <w:ilvl w:val="1"/>
          <w:numId w:val="19"/>
        </w:numPr>
        <w:tabs>
          <w:tab w:val="left" w:pos="0"/>
          <w:tab w:val="left" w:pos="567"/>
          <w:tab w:val="left" w:pos="1843"/>
        </w:tabs>
        <w:spacing w:before="0" w:after="0"/>
        <w:ind w:left="0" w:firstLine="0"/>
        <w:contextualSpacing w:val="0"/>
        <w:jc w:val="both"/>
        <w:rPr>
          <w:rFonts w:cs="Arial"/>
        </w:rPr>
      </w:pPr>
      <w:r>
        <w:rPr>
          <w:rFonts w:cs="Arial"/>
        </w:rPr>
        <w:t>O prazo de pagamento será suspenso nos casos de descumprimento total da obrigação contratual.</w:t>
      </w:r>
    </w:p>
    <w:p w14:paraId="41BFB4E2">
      <w:pPr>
        <w:pStyle w:val="41"/>
        <w:numPr>
          <w:ilvl w:val="2"/>
          <w:numId w:val="19"/>
        </w:numPr>
        <w:tabs>
          <w:tab w:val="left" w:pos="0"/>
          <w:tab w:val="left" w:pos="993"/>
          <w:tab w:val="left" w:pos="1843"/>
        </w:tabs>
        <w:spacing w:before="0" w:after="0"/>
        <w:ind w:left="0" w:firstLine="0"/>
        <w:contextualSpacing w:val="0"/>
        <w:jc w:val="both"/>
        <w:rPr>
          <w:rFonts w:cs="Arial"/>
        </w:rPr>
      </w:pPr>
      <w:r>
        <w:rPr>
          <w:rFonts w:cs="Arial"/>
        </w:rPr>
        <w:t>Nos casos de descumprimento parcial da obrigação contratual será realizado o pagamento relativo à parcela incontroversa.</w:t>
      </w:r>
    </w:p>
    <w:p w14:paraId="508EFE5F">
      <w:pPr>
        <w:pStyle w:val="41"/>
        <w:numPr>
          <w:ilvl w:val="2"/>
          <w:numId w:val="19"/>
        </w:numPr>
        <w:tabs>
          <w:tab w:val="left" w:pos="0"/>
          <w:tab w:val="left" w:pos="993"/>
          <w:tab w:val="left" w:pos="1843"/>
        </w:tabs>
        <w:spacing w:before="0" w:after="0"/>
        <w:ind w:left="0" w:firstLine="0"/>
        <w:contextualSpacing w:val="0"/>
        <w:jc w:val="both"/>
        <w:rPr>
          <w:rFonts w:cs="Arial"/>
        </w:rPr>
      </w:pPr>
      <w:r>
        <w:rPr>
          <w:rFonts w:cs="Arial"/>
        </w:rPr>
        <w:t>Caso o contratado não emita a nota fiscal dentro do prazo para o pagamento, o contratante aguardará a entrega da nota fiscal para autorizar o pagamento, que deverá ocorrer, nestes casos, em até 15 (quinze) dias, contados da entrega da nota fiscal.</w:t>
      </w:r>
    </w:p>
    <w:p w14:paraId="74E90D76">
      <w:pPr>
        <w:pStyle w:val="41"/>
        <w:numPr>
          <w:ilvl w:val="2"/>
          <w:numId w:val="19"/>
        </w:numPr>
        <w:tabs>
          <w:tab w:val="left" w:pos="0"/>
          <w:tab w:val="left" w:pos="993"/>
          <w:tab w:val="left" w:pos="1843"/>
        </w:tabs>
        <w:spacing w:before="0" w:after="0"/>
        <w:ind w:left="0" w:firstLine="0"/>
        <w:contextualSpacing w:val="0"/>
        <w:jc w:val="both"/>
        <w:rPr>
          <w:rFonts w:cs="Arial"/>
        </w:rPr>
      </w:pPr>
      <w:r>
        <w:rPr>
          <w:rFonts w:cs="Arial"/>
        </w:rPr>
        <w:t>A nota fiscal que for apresentada com erro será devolvida ao contratado, para retificação ou substituição, sendo que os trâmites para o pagamento se reiniciarão a partir da data de sua reapresentação.</w:t>
      </w:r>
    </w:p>
    <w:p w14:paraId="002544CF">
      <w:pPr>
        <w:pStyle w:val="41"/>
        <w:numPr>
          <w:ilvl w:val="1"/>
          <w:numId w:val="19"/>
        </w:numPr>
        <w:tabs>
          <w:tab w:val="left" w:pos="0"/>
          <w:tab w:val="left" w:pos="567"/>
          <w:tab w:val="left" w:pos="1843"/>
        </w:tabs>
        <w:spacing w:before="0" w:after="0"/>
        <w:ind w:left="0" w:firstLine="0"/>
        <w:contextualSpacing w:val="0"/>
        <w:jc w:val="both"/>
        <w:rPr>
          <w:rFonts w:cs="Arial"/>
        </w:rPr>
      </w:pPr>
      <w:r>
        <w:rPr>
          <w:rFonts w:cs="Arial"/>
        </w:rPr>
        <w:t>Nos casos de multas aplicadas ao contratado, os valores serão descontados dos pagamentos seguintes, desde que tenha ocorrido o julgamento do recurso no processo administrativo.</w:t>
      </w:r>
    </w:p>
    <w:p w14:paraId="54125CC9">
      <w:pPr>
        <w:pStyle w:val="41"/>
        <w:numPr>
          <w:ilvl w:val="1"/>
          <w:numId w:val="19"/>
        </w:numPr>
        <w:tabs>
          <w:tab w:val="left" w:pos="0"/>
          <w:tab w:val="left" w:pos="567"/>
          <w:tab w:val="left" w:pos="1843"/>
        </w:tabs>
        <w:spacing w:before="0" w:after="0"/>
        <w:ind w:left="0" w:firstLine="0"/>
        <w:contextualSpacing w:val="0"/>
        <w:jc w:val="both"/>
        <w:rPr>
          <w:rFonts w:cs="Arial"/>
        </w:rPr>
      </w:pPr>
      <w:r>
        <w:rPr>
          <w:rFonts w:cs="Arial"/>
        </w:rPr>
        <w:t xml:space="preserve">O fiscal do contrato comunicará previamente ao contratado a ocorrência de eventual atraso no pagamento, indicando os motivos e a perspectiva de regularização, com a data provável de pagamento, quando possível. </w:t>
      </w:r>
    </w:p>
    <w:p w14:paraId="61A2DE09">
      <w:pPr>
        <w:pStyle w:val="41"/>
        <w:numPr>
          <w:ilvl w:val="1"/>
          <w:numId w:val="19"/>
        </w:numPr>
        <w:tabs>
          <w:tab w:val="left" w:pos="0"/>
          <w:tab w:val="left" w:pos="567"/>
        </w:tabs>
        <w:spacing w:before="0" w:after="0"/>
        <w:ind w:left="0" w:firstLine="0"/>
        <w:contextualSpacing w:val="0"/>
        <w:jc w:val="both"/>
        <w:rPr>
          <w:rFonts w:cs="Arial"/>
        </w:rPr>
      </w:pPr>
      <w:r>
        <w:rPr>
          <w:rFonts w:cs="Arial"/>
        </w:rPr>
        <w:t>Em caso de atraso no pagamento pelo Contratante, a atualização monetária, remuneração do capital e a compensação da mora será objeto de incidência, uma única vez, até o efetivo pagamento, da taxa referencial do SELIC - Sistema Especial de Liquidação e de Custódia, acumulado mensalmente.</w:t>
      </w:r>
    </w:p>
    <w:p w14:paraId="24957115">
      <w:pPr>
        <w:pStyle w:val="41"/>
        <w:numPr>
          <w:ilvl w:val="1"/>
          <w:numId w:val="19"/>
        </w:numPr>
        <w:tabs>
          <w:tab w:val="left" w:pos="0"/>
          <w:tab w:val="left" w:pos="709"/>
          <w:tab w:val="left" w:pos="1843"/>
        </w:tabs>
        <w:spacing w:before="0" w:after="0"/>
        <w:ind w:left="0" w:firstLine="0"/>
        <w:contextualSpacing w:val="0"/>
        <w:jc w:val="both"/>
        <w:rPr>
          <w:rFonts w:cs="Arial"/>
        </w:rPr>
      </w:pPr>
      <w:r>
        <w:rPr>
          <w:rFonts w:cs="Arial"/>
        </w:rPr>
        <w:t>Caso ainda não estejam disponíveis os valores dos índices necessários, serão considerados os últimos índices disponíveis que correspondam ao mesmo período desejado.</w:t>
      </w:r>
    </w:p>
    <w:p w14:paraId="5C882900">
      <w:pPr>
        <w:pStyle w:val="69"/>
        <w:numPr>
          <w:ilvl w:val="0"/>
          <w:numId w:val="19"/>
        </w:numPr>
        <w:tabs>
          <w:tab w:val="left" w:pos="0"/>
        </w:tabs>
        <w:ind w:left="0" w:firstLine="0"/>
      </w:pPr>
      <w:r>
        <w:t xml:space="preserve">REAJUSTAMENTO DO PREÇO  </w:t>
      </w:r>
    </w:p>
    <w:p w14:paraId="71592FAE">
      <w:pPr>
        <w:pStyle w:val="65"/>
        <w:numPr>
          <w:ilvl w:val="1"/>
          <w:numId w:val="19"/>
        </w:numPr>
        <w:tabs>
          <w:tab w:val="left" w:pos="0"/>
        </w:tabs>
        <w:ind w:left="0" w:firstLine="0"/>
      </w:pPr>
      <w:r>
        <w:t>O preço será reajustado, de ofício, pelo contratante, conforme variação do I</w:t>
      </w:r>
      <w:r>
        <w:rPr>
          <w:lang w:val="pt-BR"/>
        </w:rPr>
        <w:t>PCA</w:t>
      </w:r>
      <w:r>
        <w:t xml:space="preserve"> (IBGE) - Índice</w:t>
      </w:r>
      <w:r>
        <w:rPr>
          <w:spacing w:val="-5"/>
        </w:rPr>
        <w:t xml:space="preserve"> </w:t>
      </w:r>
      <w:r>
        <w:t>Nacional de</w:t>
      </w:r>
      <w:r>
        <w:rPr>
          <w:spacing w:val="-5"/>
        </w:rPr>
        <w:t xml:space="preserve"> </w:t>
      </w:r>
      <w:r>
        <w:t>Preços</w:t>
      </w:r>
      <w:r>
        <w:rPr>
          <w:spacing w:val="-4"/>
        </w:rPr>
        <w:t xml:space="preserve"> </w:t>
      </w:r>
      <w:r>
        <w:t>ao</w:t>
      </w:r>
      <w:r>
        <w:rPr>
          <w:spacing w:val="-2"/>
        </w:rPr>
        <w:t xml:space="preserve"> </w:t>
      </w:r>
      <w:r>
        <w:t>Consumidor</w:t>
      </w:r>
      <w:r>
        <w:rPr>
          <w:spacing w:val="-3"/>
        </w:rPr>
        <w:t xml:space="preserve"> </w:t>
      </w:r>
      <w:r>
        <w:t xml:space="preserve">Amplo, após 12 (doze) meses contados </w:t>
      </w:r>
      <w:r>
        <w:rPr>
          <w:lang w:val="pt-BR"/>
        </w:rPr>
        <w:t xml:space="preserve">da </w:t>
      </w:r>
      <w:r>
        <w:rPr>
          <w:rFonts w:hint="default"/>
          <w:lang w:val="pt-BR"/>
        </w:rPr>
        <w:t>data-base da data do orçamento estimado.</w:t>
      </w:r>
    </w:p>
    <w:p w14:paraId="3419F483">
      <w:pPr>
        <w:pStyle w:val="65"/>
        <w:numPr>
          <w:ilvl w:val="1"/>
          <w:numId w:val="19"/>
        </w:numPr>
        <w:tabs>
          <w:tab w:val="left" w:pos="0"/>
        </w:tabs>
        <w:ind w:left="0" w:firstLine="0"/>
        <w:rPr>
          <w:rFonts w:cs="Arial"/>
        </w:rPr>
      </w:pPr>
      <w:r>
        <w:rPr>
          <w:rFonts w:cs="Arial"/>
        </w:rPr>
        <w:t>Caso ainda não estejam disponíveis os valores dos índices necessários, serão considerados os últimos índices já disponíveis que correspondam ao mesmo período desejado.</w:t>
      </w:r>
    </w:p>
    <w:p w14:paraId="4DEBA40E">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O reajuste de valores, correspondentes às parcelas do objeto entregues ou prestadas após o prazo original, será concedido apenas quando não configurado atraso.</w:t>
      </w:r>
    </w:p>
    <w:p w14:paraId="270FD773">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 xml:space="preserve">A formalização do reajuste será realizada por apostilamento contratual. </w:t>
      </w:r>
    </w:p>
    <w:p w14:paraId="0C8170F6">
      <w:pPr>
        <w:pStyle w:val="41"/>
        <w:numPr>
          <w:ilvl w:val="1"/>
          <w:numId w:val="19"/>
        </w:numPr>
        <w:tabs>
          <w:tab w:val="left" w:pos="0"/>
          <w:tab w:val="left" w:pos="567"/>
          <w:tab w:val="left" w:pos="1843"/>
        </w:tabs>
        <w:spacing w:before="120" w:after="0" w:line="264" w:lineRule="auto"/>
        <w:ind w:left="0" w:firstLine="0"/>
        <w:contextualSpacing w:val="0"/>
        <w:jc w:val="both"/>
        <w:rPr>
          <w:rFonts w:cs="Arial"/>
        </w:rPr>
      </w:pPr>
      <w:r>
        <w:rPr>
          <w:rFonts w:cs="Arial"/>
        </w:rPr>
        <w:t>Caso o valor do contrato seja alterado em razão da concessão de reequilíbrio econômico-financeiro decorrente de fato superveniente e imprevisível, do qual decorra o reequilíbrio geral do valor do contrato, inclusive relacionado a perdas inflacionárias, a data-base para o próximo reajuste contratual passará a ser a data de início dos efeitos do reequilíbrio concedido.</w:t>
      </w:r>
    </w:p>
    <w:p w14:paraId="0C76ED0A">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REEQUILÍBRIO ECONÔMICO-FINANCEIRO</w:t>
      </w:r>
    </w:p>
    <w:p w14:paraId="65839FDD">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bookmarkStart w:id="12" w:name="_Ref108270919"/>
      <w:r>
        <w:rPr>
          <w:rFonts w:cs="Arial"/>
        </w:rPr>
        <w:t>O reequilíbrio econômico-financeiro ocorrerá por meio de termo aditivo e, quando em favor do contratado, dependerá de prévia solicitação e demonstração de que a(s) ocorrência(s) inviabiliza(m) a execução do contrato nos termos inicialmente ajustados, por meio de documentos pertinentes e suficientes, acompanhados das memórias de cálculo.</w:t>
      </w:r>
      <w:bookmarkEnd w:id="12"/>
    </w:p>
    <w:p w14:paraId="289D168B">
      <w:pPr>
        <w:pStyle w:val="67"/>
        <w:numPr>
          <w:ilvl w:val="2"/>
          <w:numId w:val="19"/>
        </w:numPr>
        <w:tabs>
          <w:tab w:val="left" w:pos="0"/>
        </w:tabs>
        <w:ind w:left="0" w:firstLine="0"/>
      </w:pPr>
      <w:r>
        <w:t xml:space="preserve">A solicitação será endereçada ao gestor do contrato na Diretoria Especial de Compras da Secretaria Municipal de </w:t>
      </w:r>
      <w:r>
        <w:rPr>
          <w:rFonts w:hint="default"/>
          <w:lang w:val="pt-BR"/>
        </w:rPr>
        <w:t>Administração</w:t>
      </w:r>
      <w:r>
        <w:t>.</w:t>
      </w:r>
    </w:p>
    <w:p w14:paraId="6DCF1A41">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O contratante analisará o pedido de reequilíbrio econômico-financeiro e emitirá resposta ao contratado em 60 (sessenta) dias, admitida, desde que justificada, a prorrogação desse prazo, a partir do recebimento do pedido ou dos documentos complementares, se forem requisitados.</w:t>
      </w:r>
    </w:p>
    <w:p w14:paraId="68FD0717">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Na hipótese de não ser cumprido o prazo de resposta indicado, será facultado ao contratado a suspensão da execução contratual até que sobrevenha resposta a sua solicitação.</w:t>
      </w:r>
    </w:p>
    <w:p w14:paraId="11BA146C">
      <w:pPr>
        <w:pStyle w:val="65"/>
        <w:numPr>
          <w:ilvl w:val="1"/>
          <w:numId w:val="19"/>
        </w:numPr>
        <w:tabs>
          <w:tab w:val="left" w:pos="0"/>
        </w:tabs>
        <w:ind w:left="0" w:firstLine="0"/>
      </w:pPr>
      <w:r>
        <w:t xml:space="preserve">A necessidade de reequilíbrio econômico-financeiro do contrato em favor do contratante será comunicada previamente ao contratado, de forma devidamente fundamentada e demonstrada nos mesmos termos da cláusula </w:t>
      </w:r>
      <w:r>
        <w:fldChar w:fldCharType="begin"/>
      </w:r>
      <w:r>
        <w:instrText xml:space="preserve"> REF _Ref108270919 \r \r \h </w:instrText>
      </w:r>
      <w:r>
        <w:fldChar w:fldCharType="separate"/>
      </w:r>
      <w:r>
        <w:t>10.1</w:t>
      </w:r>
      <w:r>
        <w:fldChar w:fldCharType="end"/>
      </w:r>
      <w:r>
        <w:t xml:space="preserve">, deste contrato para a pertinente manifestação e concordância, levando à extinção contratual, sem penalidades, nos casos em que não houver acordo sobre o novo valor. </w:t>
      </w:r>
    </w:p>
    <w:p w14:paraId="71D489BC">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Formalizado o reequilíbrio econômico-financeiro, este produzirá efeitos retroativos à data do fato gerador, devendo, as subsequentes notas fiscais emitidas pelo contratado e os pagamentos realizados pelo contratante, observar os novos valores.</w:t>
      </w:r>
    </w:p>
    <w:p w14:paraId="09D557E7">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Nos casos de reequilíbrio econômico-financeiro em favor do contratante, será apresentado ao contratado memória de cálculo com o decréscimo de valor, com proposição de redução do contrato, que deverá ser realizada por acordo entre as partes.</w:t>
      </w:r>
    </w:p>
    <w:p w14:paraId="6216EE1B">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Na hipótese de não ser possível o acordo entre as partes, o contrato será rescindido, sem ônus para nenhuma das partes.</w:t>
      </w:r>
    </w:p>
    <w:p w14:paraId="25AD77AF">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O pedido de restabelecimento do equilíbrio econômico-financeiro deverá ser formulado durante a vigência do contrato e antes de eventual prorrogação.</w:t>
      </w:r>
    </w:p>
    <w:p w14:paraId="7619FB38">
      <w:pPr>
        <w:pStyle w:val="41"/>
        <w:keepNext/>
        <w:numPr>
          <w:ilvl w:val="0"/>
          <w:numId w:val="19"/>
        </w:numPr>
        <w:pBdr>
          <w:bottom w:val="thinThickMediumGap" w:color="000000" w:sz="18" w:space="1"/>
        </w:pBdr>
        <w:tabs>
          <w:tab w:val="left" w:pos="0"/>
          <w:tab w:val="left" w:pos="2127"/>
        </w:tabs>
        <w:spacing w:before="360" w:after="0" w:line="264" w:lineRule="auto"/>
        <w:ind w:left="357" w:hanging="357"/>
        <w:contextualSpacing w:val="0"/>
        <w:jc w:val="both"/>
        <w:rPr>
          <w:rFonts w:cs="Arial"/>
          <w:b/>
          <w:bCs/>
        </w:rPr>
      </w:pPr>
      <w:r>
        <w:rPr>
          <w:rFonts w:cs="Arial"/>
          <w:b/>
          <w:bCs/>
        </w:rPr>
        <w:t>OBRIGAÇÕES DO CONTRATADO</w:t>
      </w:r>
    </w:p>
    <w:p w14:paraId="1CADB81F">
      <w:pPr>
        <w:pStyle w:val="41"/>
        <w:numPr>
          <w:ilvl w:val="1"/>
          <w:numId w:val="19"/>
        </w:numPr>
        <w:tabs>
          <w:tab w:val="left" w:pos="0"/>
          <w:tab w:val="left" w:pos="851"/>
          <w:tab w:val="left" w:pos="1843"/>
        </w:tabs>
        <w:spacing w:before="120" w:after="0" w:line="264" w:lineRule="auto"/>
        <w:ind w:left="0" w:firstLine="0"/>
        <w:contextualSpacing w:val="0"/>
        <w:jc w:val="both"/>
      </w:pPr>
      <w:r>
        <w:rPr>
          <w:rFonts w:hint="default" w:ascii="Arial" w:hAnsi="Arial" w:cs="Arial"/>
          <w:sz w:val="24"/>
          <w:szCs w:val="24"/>
          <w:lang w:val="pt-BR" w:eastAsia="zh-CN"/>
        </w:rPr>
        <w:t xml:space="preserve">O </w:t>
      </w:r>
      <w:r>
        <w:rPr>
          <w:rFonts w:hint="default" w:ascii="Arial" w:hAnsi="Arial" w:cs="Arial"/>
          <w:sz w:val="24"/>
          <w:szCs w:val="24"/>
          <w:lang w:val="en-US" w:eastAsia="zh-CN"/>
        </w:rPr>
        <w:t>Fornecedor deve cumprir todas as obrigações constantes n</w:t>
      </w:r>
      <w:r>
        <w:rPr>
          <w:rFonts w:hint="default" w:cs="Arial"/>
          <w:sz w:val="24"/>
          <w:szCs w:val="24"/>
          <w:lang w:val="pt-BR" w:eastAsia="zh-CN"/>
        </w:rPr>
        <w:t>o Contrato</w:t>
      </w:r>
      <w:r>
        <w:rPr>
          <w:rFonts w:hint="default" w:ascii="Arial" w:hAnsi="Arial" w:cs="Arial"/>
          <w:sz w:val="24"/>
          <w:szCs w:val="24"/>
          <w:lang w:val="en-US" w:eastAsia="zh-CN"/>
        </w:rPr>
        <w:t>, no Edital e em seus anexos, assumindo exclusivamente seus riscos e as despesas decorrentes da boa e perfeita execução do objeto, observando, ainda, as obrigações a seguir dispostas:</w:t>
      </w:r>
    </w:p>
    <w:p w14:paraId="5EBD5D2B">
      <w:pPr>
        <w:pStyle w:val="41"/>
        <w:numPr>
          <w:ilvl w:val="1"/>
          <w:numId w:val="19"/>
        </w:numPr>
        <w:tabs>
          <w:tab w:val="left" w:pos="0"/>
          <w:tab w:val="left" w:pos="851"/>
          <w:tab w:val="left" w:pos="1843"/>
        </w:tabs>
        <w:spacing w:before="120" w:after="0" w:line="264" w:lineRule="auto"/>
        <w:ind w:left="0" w:firstLine="0"/>
        <w:contextualSpacing w:val="0"/>
        <w:jc w:val="both"/>
      </w:pPr>
      <w:r>
        <w:t xml:space="preserve">Fornecer os produtos conforme especificações estabelecidas, durante a vigência da Ata de Registro de Preços com recursos necessários ao perfeito cumprimento do </w:t>
      </w:r>
      <w:r>
        <w:rPr>
          <w:spacing w:val="-2"/>
        </w:rPr>
        <w:t>mesmo.</w:t>
      </w:r>
    </w:p>
    <w:p w14:paraId="44D896A2">
      <w:pPr>
        <w:pStyle w:val="41"/>
        <w:numPr>
          <w:ilvl w:val="1"/>
          <w:numId w:val="19"/>
        </w:numPr>
        <w:tabs>
          <w:tab w:val="left" w:pos="0"/>
          <w:tab w:val="left" w:pos="851"/>
          <w:tab w:val="left" w:pos="1843"/>
        </w:tabs>
        <w:spacing w:before="120" w:after="0" w:line="264" w:lineRule="auto"/>
        <w:ind w:left="0" w:firstLine="0"/>
        <w:contextualSpacing w:val="0"/>
        <w:jc w:val="both"/>
      </w:pPr>
      <w:r>
        <w:t>Fornecer os produtos, na qualidade de quantidade especificada, nos termos de sua proposta.</w:t>
      </w:r>
      <w:r>
        <w:rPr>
          <w:spacing w:val="24"/>
        </w:rPr>
        <w:t xml:space="preserve"> </w:t>
      </w:r>
      <w:r>
        <w:t>Comunicar</w:t>
      </w:r>
      <w:r>
        <w:rPr>
          <w:spacing w:val="27"/>
        </w:rPr>
        <w:t xml:space="preserve"> </w:t>
      </w:r>
      <w:r>
        <w:t>à</w:t>
      </w:r>
      <w:r>
        <w:rPr>
          <w:spacing w:val="27"/>
        </w:rPr>
        <w:t xml:space="preserve"> </w:t>
      </w:r>
      <w:r>
        <w:t>Administração,</w:t>
      </w:r>
      <w:r>
        <w:rPr>
          <w:spacing w:val="26"/>
        </w:rPr>
        <w:t xml:space="preserve"> </w:t>
      </w:r>
      <w:r>
        <w:t>no</w:t>
      </w:r>
      <w:r>
        <w:rPr>
          <w:spacing w:val="27"/>
        </w:rPr>
        <w:t xml:space="preserve"> </w:t>
      </w:r>
      <w:r>
        <w:t>prazo</w:t>
      </w:r>
      <w:r>
        <w:rPr>
          <w:spacing w:val="27"/>
        </w:rPr>
        <w:t xml:space="preserve"> </w:t>
      </w:r>
      <w:r>
        <w:t>máximo</w:t>
      </w:r>
      <w:r>
        <w:rPr>
          <w:spacing w:val="26"/>
        </w:rPr>
        <w:t xml:space="preserve"> </w:t>
      </w:r>
      <w:r>
        <w:t>de</w:t>
      </w:r>
      <w:r>
        <w:rPr>
          <w:spacing w:val="27"/>
        </w:rPr>
        <w:t xml:space="preserve"> </w:t>
      </w:r>
      <w:r>
        <w:t>24</w:t>
      </w:r>
      <w:r>
        <w:rPr>
          <w:spacing w:val="27"/>
        </w:rPr>
        <w:t xml:space="preserve"> </w:t>
      </w:r>
      <w:r>
        <w:t>(vinte</w:t>
      </w:r>
      <w:r>
        <w:rPr>
          <w:spacing w:val="26"/>
        </w:rPr>
        <w:t xml:space="preserve"> </w:t>
      </w:r>
      <w:r>
        <w:t>e</w:t>
      </w:r>
      <w:r>
        <w:rPr>
          <w:spacing w:val="27"/>
        </w:rPr>
        <w:t xml:space="preserve"> </w:t>
      </w:r>
      <w:r>
        <w:t>quatro)</w:t>
      </w:r>
      <w:r>
        <w:rPr>
          <w:spacing w:val="27"/>
        </w:rPr>
        <w:t xml:space="preserve"> </w:t>
      </w:r>
      <w:r>
        <w:rPr>
          <w:spacing w:val="-2"/>
        </w:rPr>
        <w:t>horas</w:t>
      </w:r>
      <w:r>
        <w:rPr>
          <w:rFonts w:hint="default"/>
          <w:spacing w:val="-2"/>
          <w:lang w:val="pt-BR"/>
        </w:rPr>
        <w:t xml:space="preserve"> </w:t>
      </w:r>
      <w:r>
        <w:t>que antecede a data de entrega, os motivos que impossibilitam o cumprimento do</w:t>
      </w:r>
      <w:r>
        <w:rPr>
          <w:spacing w:val="40"/>
        </w:rPr>
        <w:t xml:space="preserve"> </w:t>
      </w:r>
      <w:r>
        <w:t>prazo previsto.</w:t>
      </w:r>
    </w:p>
    <w:p w14:paraId="6BF2D640">
      <w:pPr>
        <w:pStyle w:val="41"/>
        <w:numPr>
          <w:ilvl w:val="1"/>
          <w:numId w:val="19"/>
        </w:numPr>
        <w:tabs>
          <w:tab w:val="left" w:pos="0"/>
          <w:tab w:val="left" w:pos="851"/>
          <w:tab w:val="left" w:pos="1843"/>
        </w:tabs>
        <w:spacing w:before="120" w:after="0" w:line="264" w:lineRule="auto"/>
        <w:ind w:left="0" w:firstLine="0"/>
        <w:contextualSpacing w:val="0"/>
        <w:jc w:val="both"/>
      </w:pPr>
      <w:r>
        <w:t>Arcar com a responsabilidade civil por todos e quaisquer danos materiais e morais causados pela ação ou omissão de seus empregados, trabalhadores, prepostos ou representantes, dolosa ou culposamente, ao Município.</w:t>
      </w:r>
    </w:p>
    <w:p w14:paraId="30F4020E">
      <w:pPr>
        <w:pStyle w:val="41"/>
        <w:numPr>
          <w:ilvl w:val="1"/>
          <w:numId w:val="19"/>
        </w:numPr>
        <w:tabs>
          <w:tab w:val="left" w:pos="0"/>
          <w:tab w:val="left" w:pos="851"/>
          <w:tab w:val="left" w:pos="1843"/>
        </w:tabs>
        <w:spacing w:before="120" w:after="0" w:line="264" w:lineRule="auto"/>
        <w:ind w:left="0" w:firstLine="0"/>
        <w:contextualSpacing w:val="0"/>
        <w:jc w:val="both"/>
      </w:pPr>
      <w:r>
        <w:t>Utilizar empregados habilitados e com conhecimentos básicos do material a ser fornecido, de conformidade com as normas e determinações em vigor.</w:t>
      </w:r>
    </w:p>
    <w:p w14:paraId="04A232F6">
      <w:pPr>
        <w:pStyle w:val="41"/>
        <w:numPr>
          <w:ilvl w:val="1"/>
          <w:numId w:val="19"/>
        </w:numPr>
        <w:tabs>
          <w:tab w:val="left" w:pos="0"/>
          <w:tab w:val="left" w:pos="851"/>
          <w:tab w:val="left" w:pos="1843"/>
        </w:tabs>
        <w:spacing w:before="120" w:after="0" w:line="264" w:lineRule="auto"/>
        <w:ind w:left="0" w:firstLine="0"/>
        <w:contextualSpacing w:val="0"/>
        <w:jc w:val="both"/>
      </w:pPr>
      <w:r>
        <w:t>Responsabilizar-se pelas despesas dos tributos, encargos trabalhistas,</w:t>
      </w:r>
      <w:r>
        <w:rPr>
          <w:spacing w:val="40"/>
        </w:rPr>
        <w:t xml:space="preserve"> </w:t>
      </w:r>
      <w:r>
        <w:t>previdenciários, fiscais, comerciais, taxas, fretes, seguros, deslocamento de pessoal, prestação de garantia e quaisquer outras coisas que incidam ou venham a incidir na execução da Ata de Registro de Preços.</w:t>
      </w:r>
    </w:p>
    <w:p w14:paraId="779BECE8">
      <w:pPr>
        <w:pStyle w:val="41"/>
        <w:numPr>
          <w:ilvl w:val="1"/>
          <w:numId w:val="19"/>
        </w:numPr>
        <w:tabs>
          <w:tab w:val="left" w:pos="0"/>
          <w:tab w:val="left" w:pos="851"/>
          <w:tab w:val="left" w:pos="1843"/>
        </w:tabs>
        <w:spacing w:before="120" w:after="0" w:line="264" w:lineRule="auto"/>
        <w:ind w:left="0" w:firstLine="0"/>
        <w:contextualSpacing w:val="0"/>
        <w:jc w:val="both"/>
      </w:pPr>
      <w:r>
        <w:t>Arcar com o ônus decorrente de eventual equívoco no dimensionamento dos quantitativos de sua proposta, inclusive quanto aos custos variáveis decorrentes de fatores futuros incertos, devendo complementar os mesmos, caso o previsto inicialmente em sua proposta não seja satisfatório para o atendimento objeto da Ata de Registro de Preços.</w:t>
      </w:r>
    </w:p>
    <w:p w14:paraId="7E4D73FA">
      <w:pPr>
        <w:pStyle w:val="41"/>
        <w:numPr>
          <w:ilvl w:val="1"/>
          <w:numId w:val="19"/>
        </w:numPr>
        <w:tabs>
          <w:tab w:val="left" w:pos="0"/>
          <w:tab w:val="left" w:pos="851"/>
          <w:tab w:val="left" w:pos="1843"/>
        </w:tabs>
        <w:spacing w:before="120" w:after="0" w:line="264" w:lineRule="auto"/>
        <w:ind w:left="0" w:firstLine="0"/>
        <w:contextualSpacing w:val="0"/>
        <w:jc w:val="both"/>
        <w:rPr>
          <w:rFonts w:hint="default" w:ascii="Arial" w:hAnsi="Arial" w:cs="Arial"/>
          <w:sz w:val="24"/>
          <w:szCs w:val="24"/>
        </w:rPr>
      </w:pPr>
      <w:r>
        <w:t xml:space="preserve"> Substituição dos produtos sem ônus para administração em caso de entrega de produto incompatível ao licitado.</w:t>
      </w:r>
    </w:p>
    <w:p w14:paraId="41AD95EC">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OBRIGAÇÕES DO CONTRATANTE</w:t>
      </w:r>
    </w:p>
    <w:p w14:paraId="707DF755">
      <w:pPr>
        <w:pStyle w:val="41"/>
        <w:numPr>
          <w:ilvl w:val="1"/>
          <w:numId w:val="19"/>
        </w:numPr>
        <w:tabs>
          <w:tab w:val="left" w:pos="0"/>
          <w:tab w:val="left" w:pos="851"/>
          <w:tab w:val="left" w:pos="1843"/>
        </w:tabs>
        <w:spacing w:before="120" w:after="0" w:line="264" w:lineRule="auto"/>
        <w:ind w:left="0" w:firstLine="0"/>
        <w:contextualSpacing w:val="0"/>
        <w:jc w:val="both"/>
      </w:pPr>
      <w:r>
        <w:rPr>
          <w:rFonts w:hint="default" w:ascii="Arial" w:hAnsi="Arial" w:cs="Arial"/>
          <w:sz w:val="24"/>
          <w:szCs w:val="24"/>
          <w:lang w:val="pt-BR"/>
        </w:rPr>
        <w:t xml:space="preserve">São obrigações do Município: </w:t>
      </w:r>
    </w:p>
    <w:p w14:paraId="7275B309">
      <w:pPr>
        <w:pStyle w:val="41"/>
        <w:numPr>
          <w:ilvl w:val="1"/>
          <w:numId w:val="19"/>
        </w:numPr>
        <w:tabs>
          <w:tab w:val="left" w:pos="0"/>
          <w:tab w:val="left" w:pos="851"/>
          <w:tab w:val="left" w:pos="1843"/>
        </w:tabs>
        <w:spacing w:before="120" w:after="0" w:line="264" w:lineRule="auto"/>
        <w:ind w:left="0" w:firstLine="0"/>
        <w:contextualSpacing w:val="0"/>
        <w:jc w:val="both"/>
      </w:pPr>
      <w:r>
        <w:t>O Município efetuará o recebimento dos produtos, verificando se os mesmos estão em conformidade com o solicitado, por meio de fiscal, formalmente nomeado para esse</w:t>
      </w:r>
      <w:r>
        <w:rPr>
          <w:spacing w:val="40"/>
        </w:rPr>
        <w:t xml:space="preserve"> </w:t>
      </w:r>
      <w:r>
        <w:t>fim; O Município comunicará imediatamente à contratada qualquer irregularidade verificada na execução dos serviços fornecidos;</w:t>
      </w:r>
    </w:p>
    <w:p w14:paraId="7C3E7386">
      <w:pPr>
        <w:pStyle w:val="41"/>
        <w:numPr>
          <w:ilvl w:val="1"/>
          <w:numId w:val="19"/>
        </w:numPr>
        <w:tabs>
          <w:tab w:val="left" w:pos="0"/>
          <w:tab w:val="left" w:pos="851"/>
          <w:tab w:val="left" w:pos="1843"/>
        </w:tabs>
        <w:spacing w:before="120" w:after="0" w:line="264" w:lineRule="auto"/>
        <w:ind w:left="0" w:firstLine="0"/>
        <w:contextualSpacing w:val="0"/>
        <w:jc w:val="both"/>
      </w:pPr>
      <w:r>
        <w:t>O Município efetuará o pagamento à contratada, de acordo com as condições de preços e prazo estabelecido na nota de empenho ou no contrato;</w:t>
      </w:r>
    </w:p>
    <w:p w14:paraId="7123063A">
      <w:pPr>
        <w:pStyle w:val="41"/>
        <w:numPr>
          <w:ilvl w:val="1"/>
          <w:numId w:val="19"/>
        </w:numPr>
        <w:tabs>
          <w:tab w:val="left" w:pos="0"/>
          <w:tab w:val="left" w:pos="851"/>
          <w:tab w:val="left" w:pos="1843"/>
        </w:tabs>
        <w:spacing w:before="120" w:after="0" w:line="264" w:lineRule="auto"/>
        <w:ind w:left="0" w:firstLine="0"/>
        <w:contextualSpacing w:val="0"/>
        <w:jc w:val="both"/>
        <w:rPr>
          <w:rFonts w:hint="default" w:ascii="Arial" w:hAnsi="Arial" w:cs="Arial"/>
          <w:sz w:val="24"/>
          <w:szCs w:val="24"/>
          <w:lang w:val="pt-BR" w:eastAsia="zh-CN"/>
        </w:rPr>
      </w:pPr>
      <w:r>
        <w:t>O</w:t>
      </w:r>
      <w:r>
        <w:rPr>
          <w:spacing w:val="-1"/>
        </w:rPr>
        <w:t xml:space="preserve"> </w:t>
      </w:r>
      <w:r>
        <w:t>Município</w:t>
      </w:r>
      <w:r>
        <w:rPr>
          <w:spacing w:val="-1"/>
        </w:rPr>
        <w:t xml:space="preserve"> </w:t>
      </w:r>
      <w:r>
        <w:t>garantirá</w:t>
      </w:r>
      <w:r>
        <w:rPr>
          <w:spacing w:val="-1"/>
        </w:rPr>
        <w:t xml:space="preserve"> </w:t>
      </w:r>
      <w:r>
        <w:t>o</w:t>
      </w:r>
      <w:r>
        <w:rPr>
          <w:spacing w:val="-1"/>
        </w:rPr>
        <w:t xml:space="preserve"> </w:t>
      </w:r>
      <w:r>
        <w:t>cumprimento</w:t>
      </w:r>
      <w:r>
        <w:rPr>
          <w:spacing w:val="-1"/>
        </w:rPr>
        <w:t xml:space="preserve"> </w:t>
      </w:r>
      <w:r>
        <w:t>de</w:t>
      </w:r>
      <w:r>
        <w:rPr>
          <w:spacing w:val="-1"/>
        </w:rPr>
        <w:t xml:space="preserve"> </w:t>
      </w:r>
      <w:r>
        <w:t>todas</w:t>
      </w:r>
      <w:r>
        <w:rPr>
          <w:spacing w:val="-1"/>
        </w:rPr>
        <w:t xml:space="preserve"> </w:t>
      </w:r>
      <w:r>
        <w:t>as</w:t>
      </w:r>
      <w:r>
        <w:rPr>
          <w:spacing w:val="-1"/>
        </w:rPr>
        <w:t xml:space="preserve"> </w:t>
      </w:r>
      <w:r>
        <w:t>cláusulas</w:t>
      </w:r>
      <w:r>
        <w:rPr>
          <w:spacing w:val="-1"/>
        </w:rPr>
        <w:t xml:space="preserve"> </w:t>
      </w:r>
      <w:r>
        <w:t>contratuais</w:t>
      </w:r>
      <w:r>
        <w:rPr>
          <w:spacing w:val="-1"/>
        </w:rPr>
        <w:t xml:space="preserve"> </w:t>
      </w:r>
      <w:r>
        <w:t>necessárias</w:t>
      </w:r>
      <w:r>
        <w:rPr>
          <w:spacing w:val="-1"/>
        </w:rPr>
        <w:t xml:space="preserve"> </w:t>
      </w:r>
      <w:r>
        <w:t xml:space="preserve">ao bom desempenho da prestação dos serviços, objeto desta contratação. </w:t>
      </w:r>
    </w:p>
    <w:p w14:paraId="3F866B22">
      <w:pPr>
        <w:pStyle w:val="41"/>
        <w:numPr>
          <w:ilvl w:val="1"/>
          <w:numId w:val="19"/>
        </w:numPr>
        <w:tabs>
          <w:tab w:val="left" w:pos="0"/>
          <w:tab w:val="left" w:pos="851"/>
          <w:tab w:val="left" w:pos="1843"/>
        </w:tabs>
        <w:spacing w:before="120" w:after="0" w:line="264" w:lineRule="auto"/>
        <w:ind w:left="0" w:firstLine="0"/>
        <w:contextualSpacing w:val="0"/>
        <w:jc w:val="both"/>
        <w:rPr>
          <w:rFonts w:hint="default" w:ascii="Arial" w:hAnsi="Arial" w:cs="Arial"/>
          <w:sz w:val="24"/>
          <w:szCs w:val="24"/>
          <w:lang w:val="pt-BR" w:eastAsia="zh-CN"/>
        </w:rPr>
      </w:pPr>
      <w:r>
        <w:rPr>
          <w:rFonts w:hint="default"/>
          <w:lang w:val="pt-BR"/>
        </w:rPr>
        <w:t>O</w:t>
      </w:r>
      <w:r>
        <w:t xml:space="preserve"> Município fiscalizará as obrigações da contratada de manter, durante todas a execução do contrato, em compatibilidade com as obrigações assumidas, as condições de habilitação e qualificação exigidas na licitação</w:t>
      </w:r>
    </w:p>
    <w:p w14:paraId="76EBC659">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rPr>
      </w:pPr>
      <w:r>
        <w:rPr>
          <w:rFonts w:cs="Arial"/>
          <w:b/>
          <w:bCs/>
        </w:rPr>
        <w:t>FISCALIZAÇÃO</w:t>
      </w:r>
      <w:r>
        <w:rPr>
          <w:rFonts w:cs="Arial"/>
          <w:b/>
        </w:rPr>
        <w:t xml:space="preserve"> DO CONTRATO</w:t>
      </w:r>
    </w:p>
    <w:p w14:paraId="05FC3613">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szCs w:val="24"/>
        </w:rPr>
        <w:t>A</w:t>
      </w:r>
      <w:r>
        <w:rPr>
          <w:spacing w:val="1"/>
          <w:szCs w:val="24"/>
        </w:rPr>
        <w:t xml:space="preserve"> </w:t>
      </w:r>
      <w:r>
        <w:rPr>
          <w:szCs w:val="24"/>
        </w:rPr>
        <w:t>Fiscalização</w:t>
      </w:r>
      <w:r>
        <w:rPr>
          <w:spacing w:val="1"/>
          <w:szCs w:val="24"/>
        </w:rPr>
        <w:t xml:space="preserve"> </w:t>
      </w:r>
      <w:r>
        <w:rPr>
          <w:szCs w:val="24"/>
        </w:rPr>
        <w:t>e</w:t>
      </w:r>
      <w:r>
        <w:rPr>
          <w:spacing w:val="1"/>
          <w:szCs w:val="24"/>
        </w:rPr>
        <w:t xml:space="preserve"> </w:t>
      </w:r>
      <w:r>
        <w:rPr>
          <w:szCs w:val="24"/>
        </w:rPr>
        <w:t>acompanhamento</w:t>
      </w:r>
      <w:r>
        <w:rPr>
          <w:spacing w:val="1"/>
          <w:szCs w:val="24"/>
        </w:rPr>
        <w:t xml:space="preserve"> </w:t>
      </w:r>
      <w:r>
        <w:rPr>
          <w:szCs w:val="24"/>
        </w:rPr>
        <w:t>da</w:t>
      </w:r>
      <w:r>
        <w:rPr>
          <w:spacing w:val="1"/>
          <w:szCs w:val="24"/>
        </w:rPr>
        <w:t xml:space="preserve"> </w:t>
      </w:r>
      <w:r>
        <w:rPr>
          <w:szCs w:val="24"/>
        </w:rPr>
        <w:t>execução</w:t>
      </w:r>
      <w:r>
        <w:rPr>
          <w:spacing w:val="1"/>
          <w:szCs w:val="24"/>
        </w:rPr>
        <w:t xml:space="preserve"> </w:t>
      </w:r>
      <w:r>
        <w:rPr>
          <w:szCs w:val="24"/>
        </w:rPr>
        <w:t>dos</w:t>
      </w:r>
      <w:r>
        <w:rPr>
          <w:spacing w:val="1"/>
          <w:szCs w:val="24"/>
        </w:rPr>
        <w:t xml:space="preserve"> </w:t>
      </w:r>
      <w:r>
        <w:rPr>
          <w:szCs w:val="24"/>
        </w:rPr>
        <w:t>serviços</w:t>
      </w:r>
      <w:r>
        <w:rPr>
          <w:spacing w:val="1"/>
          <w:szCs w:val="24"/>
        </w:rPr>
        <w:t xml:space="preserve"> </w:t>
      </w:r>
      <w:r>
        <w:rPr>
          <w:szCs w:val="24"/>
        </w:rPr>
        <w:t>será realizada por servidores com capacidade técnica, devidamente nomeados por portaria pela Autoridade competente</w:t>
      </w:r>
      <w:r>
        <w:rPr>
          <w:rFonts w:cs="Arial"/>
        </w:rPr>
        <w:t>.</w:t>
      </w:r>
    </w:p>
    <w:p w14:paraId="00B573C5">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rPr>
      </w:pPr>
      <w:r>
        <w:rPr>
          <w:rFonts w:cs="Arial"/>
          <w:b/>
          <w:bCs/>
        </w:rPr>
        <w:t>ALTERAÇÃO</w:t>
      </w:r>
      <w:r>
        <w:rPr>
          <w:rFonts w:cs="Arial"/>
          <w:b/>
        </w:rPr>
        <w:t xml:space="preserve"> CONTRATUAL </w:t>
      </w:r>
    </w:p>
    <w:p w14:paraId="2DFB7EC5">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 xml:space="preserve">O presente contrato poderá ser alterado pelo contratante para acrescer, suprimir o quantitativo contratado ou modificar as especificações técnicas do objeto, respeitado o limite legal, mantendo inalteradas as demais condições contratuais. </w:t>
      </w:r>
    </w:p>
    <w:p w14:paraId="01838D17">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 xml:space="preserve">Em caso de acréscimo de quantitativo, poderá ser realizado o ajuste no prazo de vigência e no cronograma. </w:t>
      </w:r>
    </w:p>
    <w:p w14:paraId="1C05344E">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Em caso de supressão de quantitativo que ultrapasse o percentual de aceitação obrigatória, se o contratado já houver adquirido os materiais, no momento em que for formalmente notificado da supressão, no caso de revenda ou de insumos necessários à execução do serviço, estes valores deverão ser indenizados pelo contratante, em conformidade com o processo administrativo para apuração do valor devido.</w:t>
      </w:r>
    </w:p>
    <w:p w14:paraId="04A556FF">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 xml:space="preserve">SUBCONTRATAÇÃO </w:t>
      </w:r>
      <w:r>
        <w:rPr>
          <w:rFonts w:hint="default" w:cs="Arial"/>
          <w:b/>
          <w:bCs/>
          <w:lang w:val="pt-BR"/>
        </w:rPr>
        <w:t xml:space="preserve">  </w:t>
      </w:r>
    </w:p>
    <w:p w14:paraId="6DF389BC">
      <w:pPr>
        <w:pStyle w:val="41"/>
        <w:numPr>
          <w:ilvl w:val="1"/>
          <w:numId w:val="19"/>
        </w:numPr>
        <w:tabs>
          <w:tab w:val="left" w:pos="0"/>
          <w:tab w:val="left" w:pos="851"/>
          <w:tab w:val="left" w:pos="1843"/>
        </w:tabs>
        <w:spacing w:before="120" w:after="0" w:line="264" w:lineRule="auto"/>
        <w:ind w:left="0" w:firstLine="0"/>
        <w:contextualSpacing w:val="0"/>
        <w:jc w:val="both"/>
      </w:pPr>
      <w:r>
        <w:rPr>
          <w:rFonts w:cs="Arial"/>
        </w:rPr>
        <w:t xml:space="preserve"> </w:t>
      </w:r>
      <w:r>
        <w:rPr>
          <w:rFonts w:hint="default" w:cs="Arial"/>
          <w:bCs/>
          <w:sz w:val="24"/>
          <w:szCs w:val="24"/>
          <w:lang w:val="pt-BR"/>
        </w:rPr>
        <w:t>Na presente contratação s</w:t>
      </w:r>
      <w:r>
        <w:rPr>
          <w:rFonts w:hint="default" w:ascii="Arial" w:hAnsi="Arial" w:eastAsia="SimSun" w:cs="Arial"/>
          <w:sz w:val="24"/>
          <w:szCs w:val="24"/>
        </w:rPr>
        <w:t xml:space="preserve">erá </w:t>
      </w:r>
      <w:r>
        <w:rPr>
          <w:rFonts w:hint="default" w:eastAsia="SimSun" w:cs="Arial"/>
          <w:sz w:val="24"/>
          <w:szCs w:val="24"/>
          <w:lang w:val="pt-BR"/>
        </w:rPr>
        <w:t>vedada</w:t>
      </w:r>
      <w:r>
        <w:rPr>
          <w:rFonts w:hint="default" w:ascii="Arial" w:hAnsi="Arial" w:eastAsia="SimSun" w:cs="Arial"/>
          <w:sz w:val="24"/>
          <w:szCs w:val="24"/>
        </w:rPr>
        <w:t xml:space="preserve"> </w:t>
      </w:r>
      <w:r>
        <w:rPr>
          <w:rFonts w:hint="default" w:eastAsia="SimSun" w:cs="Arial"/>
          <w:sz w:val="24"/>
          <w:szCs w:val="24"/>
          <w:lang w:val="pt-BR"/>
        </w:rPr>
        <w:t xml:space="preserve">. </w:t>
      </w:r>
      <w:r>
        <w:t>A vedação da subcontratação justifica-se pela natureza do objeto, que exige rigoroso controle de qualidade na usinagem e na composição química do ligante asfáltico modificado. O CBUQ para aplicação a frio é um material que depende de aditivos específicos para garantir sua estocabilidade e adesividade; portanto, a execução por terceiros estranhos ao certame licitatório comprometeria a garantia técnica e a fiscalização direta sobre o traço do material fornecido.</w:t>
      </w:r>
    </w:p>
    <w:p w14:paraId="0625053E">
      <w:pPr>
        <w:pStyle w:val="41"/>
        <w:numPr>
          <w:ilvl w:val="1"/>
          <w:numId w:val="19"/>
        </w:numPr>
        <w:tabs>
          <w:tab w:val="left" w:pos="0"/>
          <w:tab w:val="left" w:pos="851"/>
          <w:tab w:val="left" w:pos="1843"/>
        </w:tabs>
        <w:spacing w:before="120" w:after="0" w:line="264" w:lineRule="auto"/>
        <w:ind w:left="0" w:firstLine="0"/>
        <w:contextualSpacing w:val="0"/>
        <w:jc w:val="both"/>
      </w:pPr>
      <w:r>
        <w:t>Ademais, busca-se assegurar a responsabilidade direta da contratada quanto à procedência dos insumos e à integridade do produto final, evitando a fragmentação da responsabilidade civil e técnica, o que é essencial para garantir a durabilidade dos reparos asfálticos e a proteção ao erário, em consonância com o princípio da</w:t>
      </w:r>
      <w:r>
        <w:rPr>
          <w:spacing w:val="40"/>
        </w:rPr>
        <w:t xml:space="preserve"> </w:t>
      </w:r>
      <w:r>
        <w:t>segurança jurídica e do interesse público.</w:t>
      </w:r>
    </w:p>
    <w:p w14:paraId="19746E72">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MEIOS ALTERNATIVOS DE SOLUÇÃO DE CONTROVÉRSIA</w:t>
      </w:r>
    </w:p>
    <w:p w14:paraId="5586ED71">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Dentre as possibilidades elencadas no art. 151 da Lei n° 14.133/2021, as partes buscarão a solução consensual das eventuais controvérsias, por meio da conciliação.</w:t>
      </w:r>
    </w:p>
    <w:p w14:paraId="1D953955">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 xml:space="preserve">SANÇÕES ADMINISTRATIVAS </w:t>
      </w:r>
    </w:p>
    <w:p w14:paraId="51E2328E">
      <w:pPr>
        <w:pStyle w:val="41"/>
        <w:spacing w:before="240" w:after="240"/>
        <w:ind w:left="0"/>
        <w:contextualSpacing/>
        <w:jc w:val="both"/>
        <w:rPr>
          <w:szCs w:val="20"/>
        </w:rPr>
      </w:pPr>
    </w:p>
    <w:p w14:paraId="163DEC4E">
      <w:pPr>
        <w:pStyle w:val="41"/>
        <w:numPr>
          <w:ilvl w:val="1"/>
          <w:numId w:val="19"/>
        </w:numPr>
        <w:tabs>
          <w:tab w:val="left" w:pos="0"/>
        </w:tabs>
        <w:spacing w:before="240" w:after="240"/>
        <w:ind w:left="0" w:firstLine="0"/>
        <w:contextualSpacing/>
        <w:jc w:val="both"/>
        <w:rPr>
          <w:szCs w:val="20"/>
        </w:rPr>
      </w:pPr>
      <w:r>
        <w:rPr>
          <w:szCs w:val="20"/>
        </w:rPr>
        <w:t>As infrações praticadas pelo contratado serão sancionáveis de acordo com sua gravidade, respeitado o contraditório e a ampla defesa, seguindo o rito processual detalhado no link: “</w:t>
      </w:r>
      <w:r>
        <w:fldChar w:fldCharType="begin"/>
      </w:r>
      <w:r>
        <w:instrText xml:space="preserve"> HYPERLINK "https://boselli.com.br/par-cad-18/" \h </w:instrText>
      </w:r>
      <w:r>
        <w:fldChar w:fldCharType="separate"/>
      </w:r>
      <w:r>
        <w:rPr>
          <w:rStyle w:val="15"/>
          <w:szCs w:val="20"/>
        </w:rPr>
        <w:t>Processo Sancionatório</w:t>
      </w:r>
      <w:r>
        <w:rPr>
          <w:rStyle w:val="15"/>
          <w:szCs w:val="20"/>
        </w:rPr>
        <w:fldChar w:fldCharType="end"/>
      </w:r>
      <w:r>
        <w:rPr>
          <w:szCs w:val="20"/>
        </w:rPr>
        <w:t>”.</w:t>
      </w:r>
    </w:p>
    <w:p w14:paraId="1B4B03E7">
      <w:pPr>
        <w:pStyle w:val="41"/>
        <w:numPr>
          <w:ilvl w:val="1"/>
          <w:numId w:val="19"/>
        </w:numPr>
        <w:tabs>
          <w:tab w:val="left" w:pos="0"/>
        </w:tabs>
        <w:spacing w:before="240" w:after="240"/>
        <w:ind w:left="0" w:firstLine="0"/>
        <w:contextualSpacing/>
        <w:jc w:val="both"/>
        <w:rPr>
          <w:szCs w:val="20"/>
        </w:rPr>
      </w:pPr>
      <w:r>
        <w:rPr>
          <w:szCs w:val="20"/>
        </w:rPr>
        <w:t>Nos casos em que o contratado cometer ato de descumprimento parcial do contrato, sem que gere dano ao Município, o fiscal do contrato aplicará sanção de advertência ao contratado pelo inadimplemento.</w:t>
      </w:r>
    </w:p>
    <w:p w14:paraId="67DB7C9F">
      <w:pPr>
        <w:pStyle w:val="41"/>
        <w:numPr>
          <w:ilvl w:val="1"/>
          <w:numId w:val="19"/>
        </w:numPr>
        <w:tabs>
          <w:tab w:val="left" w:pos="0"/>
        </w:tabs>
        <w:spacing w:before="240" w:after="240"/>
        <w:ind w:left="0" w:firstLine="0"/>
        <w:contextualSpacing/>
        <w:jc w:val="both"/>
        <w:rPr>
          <w:szCs w:val="20"/>
        </w:rPr>
      </w:pPr>
      <w:r>
        <w:rPr>
          <w:szCs w:val="20"/>
        </w:rPr>
        <w:t>Será aplicada multa moratória de 0,5% (zero vírgula cinco por cento) por dia de atraso injustificado sobre o valor da parcela inadimplida, até o limite de 40 (quarenta) dias.</w:t>
      </w:r>
    </w:p>
    <w:p w14:paraId="75E342AB">
      <w:pPr>
        <w:pStyle w:val="41"/>
        <w:numPr>
          <w:ilvl w:val="1"/>
          <w:numId w:val="19"/>
        </w:numPr>
        <w:tabs>
          <w:tab w:val="left" w:pos="0"/>
        </w:tabs>
        <w:spacing w:before="240" w:after="240"/>
        <w:ind w:left="0" w:firstLine="0"/>
        <w:contextualSpacing/>
        <w:jc w:val="both"/>
        <w:rPr>
          <w:szCs w:val="20"/>
        </w:rPr>
      </w:pPr>
      <w:r>
        <w:rPr>
          <w:szCs w:val="20"/>
        </w:rPr>
        <w:t>Ultrapassado o prazo máximo de multa moratória, o Município poderá optar por comunicar ao contratado a rescisão contratual, com a substituição da multa moratória por multa compensatória de 20% (vinte por cento) sobre o valor da parcela inadimplida.</w:t>
      </w:r>
    </w:p>
    <w:p w14:paraId="53050AD9">
      <w:pPr>
        <w:pStyle w:val="41"/>
        <w:numPr>
          <w:ilvl w:val="1"/>
          <w:numId w:val="19"/>
        </w:numPr>
        <w:tabs>
          <w:tab w:val="left" w:pos="0"/>
        </w:tabs>
        <w:spacing w:before="240" w:after="240"/>
        <w:ind w:left="0" w:firstLine="0"/>
        <w:contextualSpacing/>
        <w:jc w:val="both"/>
        <w:rPr>
          <w:szCs w:val="20"/>
        </w:rPr>
      </w:pPr>
      <w:r>
        <w:rPr>
          <w:szCs w:val="20"/>
        </w:rPr>
        <w:t>Nos casos de inexecução total do contrato, o Município aplicará multa de 20% (vinte por cento) sobre o valor do saldo contratual a executar.</w:t>
      </w:r>
    </w:p>
    <w:p w14:paraId="2AC9E70B">
      <w:pPr>
        <w:pStyle w:val="41"/>
        <w:numPr>
          <w:ilvl w:val="1"/>
          <w:numId w:val="19"/>
        </w:numPr>
        <w:tabs>
          <w:tab w:val="left" w:pos="0"/>
          <w:tab w:val="left" w:pos="851"/>
          <w:tab w:val="left" w:pos="1843"/>
        </w:tabs>
        <w:spacing w:before="120" w:after="0"/>
        <w:ind w:left="0" w:firstLine="0"/>
        <w:contextualSpacing w:val="0"/>
        <w:jc w:val="both"/>
        <w:rPr>
          <w:rFonts w:ascii="Segoe UI" w:hAnsi="Segoe UI" w:cs="Segoe UI"/>
          <w:color w:val="385724" w:themeColor="accent6" w:themeShade="80"/>
          <w:sz w:val="22"/>
          <w:szCs w:val="18"/>
        </w:rPr>
      </w:pPr>
      <w:r>
        <w:rPr>
          <w:szCs w:val="20"/>
        </w:rPr>
        <w:t>A penalidade de multa poderá ser cumulada com penalidade de impedimento de licitar e contratar, nos termos da tabela:</w:t>
      </w:r>
    </w:p>
    <w:tbl>
      <w:tblPr>
        <w:tblStyle w:val="27"/>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395"/>
        <w:gridCol w:w="3402"/>
        <w:gridCol w:w="1559"/>
      </w:tblGrid>
      <w:tr w14:paraId="56CF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4AEC5CE0">
            <w:pPr>
              <w:widowControl/>
              <w:suppressAutoHyphens/>
              <w:spacing w:before="80" w:after="80" w:line="264" w:lineRule="auto"/>
              <w:jc w:val="center"/>
              <w:rPr>
                <w:rFonts w:eastAsiaTheme="minorHAnsi"/>
                <w:b/>
                <w:bCs/>
                <w:sz w:val="15"/>
                <w:szCs w:val="15"/>
              </w:rPr>
            </w:pPr>
            <w:r>
              <w:rPr>
                <w:rFonts w:eastAsiaTheme="minorHAnsi"/>
                <w:b/>
                <w:bCs/>
                <w:kern w:val="0"/>
                <w:sz w:val="15"/>
                <w:szCs w:val="15"/>
              </w:rPr>
              <w:t>INFRAÇÃO COMETIDA</w:t>
            </w:r>
          </w:p>
        </w:tc>
        <w:tc>
          <w:tcPr>
            <w:tcW w:w="3402" w:type="dxa"/>
            <w:vAlign w:val="center"/>
          </w:tcPr>
          <w:p w14:paraId="016F303D">
            <w:pPr>
              <w:widowControl/>
              <w:suppressAutoHyphens/>
              <w:spacing w:before="80" w:after="80" w:line="264" w:lineRule="auto"/>
              <w:jc w:val="center"/>
              <w:rPr>
                <w:rFonts w:eastAsiaTheme="minorHAnsi"/>
                <w:b/>
                <w:bCs/>
                <w:sz w:val="15"/>
                <w:szCs w:val="15"/>
              </w:rPr>
            </w:pPr>
            <w:r>
              <w:rPr>
                <w:rFonts w:eastAsiaTheme="minorHAnsi"/>
                <w:b/>
                <w:bCs/>
                <w:kern w:val="0"/>
                <w:sz w:val="15"/>
                <w:szCs w:val="15"/>
              </w:rPr>
              <w:t>PENALIDADE</w:t>
            </w:r>
          </w:p>
        </w:tc>
        <w:tc>
          <w:tcPr>
            <w:tcW w:w="1559" w:type="dxa"/>
            <w:vAlign w:val="center"/>
          </w:tcPr>
          <w:p w14:paraId="467A7B17">
            <w:pPr>
              <w:widowControl/>
              <w:suppressAutoHyphens/>
              <w:spacing w:before="80" w:after="80" w:line="264" w:lineRule="auto"/>
              <w:jc w:val="center"/>
              <w:rPr>
                <w:rFonts w:eastAsiaTheme="minorHAnsi"/>
                <w:b/>
                <w:bCs/>
                <w:sz w:val="15"/>
                <w:szCs w:val="15"/>
              </w:rPr>
            </w:pPr>
            <w:r>
              <w:rPr>
                <w:rFonts w:eastAsiaTheme="minorHAnsi"/>
                <w:b/>
                <w:bCs/>
                <w:kern w:val="0"/>
                <w:sz w:val="15"/>
                <w:szCs w:val="15"/>
              </w:rPr>
              <w:t>PRAZO</w:t>
            </w:r>
          </w:p>
        </w:tc>
      </w:tr>
      <w:tr w14:paraId="733B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541D3FCB">
            <w:pPr>
              <w:widowControl/>
              <w:suppressAutoHyphens/>
              <w:spacing w:before="80" w:after="80" w:line="264" w:lineRule="auto"/>
              <w:jc w:val="both"/>
              <w:rPr>
                <w:rFonts w:eastAsiaTheme="minorHAnsi"/>
                <w:sz w:val="15"/>
                <w:szCs w:val="15"/>
              </w:rPr>
            </w:pPr>
            <w:r>
              <w:rPr>
                <w:rFonts w:eastAsiaTheme="minorHAnsi"/>
                <w:kern w:val="0"/>
                <w:sz w:val="15"/>
                <w:szCs w:val="15"/>
              </w:rPr>
              <w:t>Ensejar o retardamento da execução do contrato sem motivo justificado</w:t>
            </w:r>
          </w:p>
        </w:tc>
        <w:tc>
          <w:tcPr>
            <w:tcW w:w="3402" w:type="dxa"/>
            <w:vAlign w:val="center"/>
          </w:tcPr>
          <w:p w14:paraId="42846A60">
            <w:pPr>
              <w:widowControl/>
              <w:suppressAutoHyphens/>
              <w:spacing w:before="80" w:after="80" w:line="264" w:lineRule="auto"/>
              <w:jc w:val="center"/>
              <w:rPr>
                <w:rFonts w:eastAsiaTheme="minorHAnsi"/>
                <w:sz w:val="15"/>
                <w:szCs w:val="15"/>
              </w:rPr>
            </w:pPr>
            <w:r>
              <w:rPr>
                <w:rFonts w:eastAsiaTheme="minorHAnsi"/>
                <w:kern w:val="0"/>
                <w:sz w:val="15"/>
                <w:szCs w:val="15"/>
              </w:rPr>
              <w:t>Impedimento de licitar ou contratar com o município de Paranavaí</w:t>
            </w:r>
          </w:p>
        </w:tc>
        <w:tc>
          <w:tcPr>
            <w:tcW w:w="1559" w:type="dxa"/>
            <w:vAlign w:val="center"/>
          </w:tcPr>
          <w:p w14:paraId="6D672851">
            <w:pPr>
              <w:widowControl/>
              <w:suppressAutoHyphens/>
              <w:spacing w:before="80" w:after="80" w:line="264" w:lineRule="auto"/>
              <w:jc w:val="center"/>
              <w:rPr>
                <w:rFonts w:eastAsiaTheme="minorHAnsi"/>
                <w:sz w:val="15"/>
                <w:szCs w:val="15"/>
              </w:rPr>
            </w:pPr>
            <w:r>
              <w:rPr>
                <w:rFonts w:eastAsiaTheme="minorHAnsi"/>
                <w:kern w:val="0"/>
                <w:sz w:val="15"/>
                <w:szCs w:val="15"/>
              </w:rPr>
              <w:t>6 meses</w:t>
            </w:r>
          </w:p>
        </w:tc>
      </w:tr>
      <w:tr w14:paraId="4C3A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28" w:hRule="atLeast"/>
        </w:trPr>
        <w:tc>
          <w:tcPr>
            <w:tcW w:w="4395" w:type="dxa"/>
            <w:vAlign w:val="center"/>
          </w:tcPr>
          <w:p w14:paraId="21D807FB">
            <w:pPr>
              <w:widowControl/>
              <w:suppressAutoHyphens/>
              <w:spacing w:before="80" w:after="80" w:line="264" w:lineRule="auto"/>
              <w:jc w:val="both"/>
              <w:rPr>
                <w:rFonts w:eastAsiaTheme="minorHAnsi"/>
                <w:sz w:val="15"/>
                <w:szCs w:val="15"/>
              </w:rPr>
            </w:pPr>
            <w:r>
              <w:rPr>
                <w:rFonts w:eastAsiaTheme="minorHAnsi"/>
                <w:kern w:val="0"/>
                <w:sz w:val="15"/>
                <w:szCs w:val="15"/>
              </w:rPr>
              <w:t>Dar causa à inexecução parcial do contrato que cause grave dano à Administração, ao funcionamento dos serviços públicos ou ao interesse coletivo</w:t>
            </w:r>
          </w:p>
        </w:tc>
        <w:tc>
          <w:tcPr>
            <w:tcW w:w="3402" w:type="dxa"/>
            <w:vAlign w:val="center"/>
          </w:tcPr>
          <w:p w14:paraId="2B4E0B92">
            <w:pPr>
              <w:widowControl/>
              <w:suppressAutoHyphens/>
              <w:spacing w:before="80" w:after="80" w:line="264" w:lineRule="auto"/>
              <w:jc w:val="center"/>
              <w:rPr>
                <w:rFonts w:eastAsiaTheme="minorHAnsi"/>
                <w:sz w:val="15"/>
                <w:szCs w:val="15"/>
              </w:rPr>
            </w:pPr>
            <w:r>
              <w:rPr>
                <w:rFonts w:eastAsiaTheme="minorHAnsi"/>
                <w:kern w:val="0"/>
                <w:sz w:val="15"/>
                <w:szCs w:val="15"/>
              </w:rPr>
              <w:t>Impedimento de licitar ou contratar com o município de Paranavaí</w:t>
            </w:r>
          </w:p>
        </w:tc>
        <w:tc>
          <w:tcPr>
            <w:tcW w:w="1559" w:type="dxa"/>
            <w:vAlign w:val="center"/>
          </w:tcPr>
          <w:p w14:paraId="70198FC3">
            <w:pPr>
              <w:widowControl/>
              <w:suppressAutoHyphens/>
              <w:spacing w:before="80" w:after="80" w:line="264" w:lineRule="auto"/>
              <w:jc w:val="center"/>
              <w:rPr>
                <w:rFonts w:eastAsiaTheme="minorHAnsi"/>
                <w:sz w:val="15"/>
                <w:szCs w:val="15"/>
              </w:rPr>
            </w:pPr>
            <w:r>
              <w:rPr>
                <w:rFonts w:eastAsiaTheme="minorHAnsi"/>
                <w:kern w:val="0"/>
                <w:sz w:val="15"/>
                <w:szCs w:val="15"/>
              </w:rPr>
              <w:t>12 meses</w:t>
            </w:r>
          </w:p>
        </w:tc>
      </w:tr>
      <w:tr w14:paraId="275F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35D88937">
            <w:pPr>
              <w:widowControl/>
              <w:suppressAutoHyphens/>
              <w:spacing w:before="80" w:after="80" w:line="264" w:lineRule="auto"/>
              <w:jc w:val="both"/>
              <w:rPr>
                <w:rFonts w:eastAsiaTheme="minorHAnsi"/>
                <w:sz w:val="15"/>
                <w:szCs w:val="15"/>
              </w:rPr>
            </w:pPr>
            <w:r>
              <w:rPr>
                <w:rFonts w:eastAsiaTheme="minorHAnsi"/>
                <w:kern w:val="0"/>
                <w:sz w:val="15"/>
                <w:szCs w:val="15"/>
              </w:rPr>
              <w:t>Dar causa à inexecução total do contrato</w:t>
            </w:r>
          </w:p>
        </w:tc>
        <w:tc>
          <w:tcPr>
            <w:tcW w:w="3402" w:type="dxa"/>
            <w:vAlign w:val="center"/>
          </w:tcPr>
          <w:p w14:paraId="5F0CAD61">
            <w:pPr>
              <w:widowControl/>
              <w:suppressAutoHyphens/>
              <w:spacing w:before="80" w:after="80" w:line="264" w:lineRule="auto"/>
              <w:jc w:val="center"/>
              <w:rPr>
                <w:rFonts w:eastAsiaTheme="minorHAnsi"/>
                <w:sz w:val="15"/>
                <w:szCs w:val="15"/>
              </w:rPr>
            </w:pPr>
            <w:r>
              <w:rPr>
                <w:rFonts w:eastAsiaTheme="minorHAnsi"/>
                <w:kern w:val="0"/>
                <w:sz w:val="15"/>
                <w:szCs w:val="15"/>
              </w:rPr>
              <w:t>Impedimento de licitar ou contratar com o município de Paranavaí</w:t>
            </w:r>
          </w:p>
        </w:tc>
        <w:tc>
          <w:tcPr>
            <w:tcW w:w="1559" w:type="dxa"/>
            <w:vAlign w:val="center"/>
          </w:tcPr>
          <w:p w14:paraId="25DB7AB8">
            <w:pPr>
              <w:widowControl/>
              <w:suppressAutoHyphens/>
              <w:spacing w:before="80" w:after="80" w:line="264" w:lineRule="auto"/>
              <w:jc w:val="center"/>
              <w:rPr>
                <w:rFonts w:eastAsiaTheme="minorHAnsi"/>
                <w:sz w:val="15"/>
                <w:szCs w:val="15"/>
              </w:rPr>
            </w:pPr>
            <w:r>
              <w:rPr>
                <w:rFonts w:eastAsiaTheme="minorHAnsi"/>
                <w:kern w:val="0"/>
                <w:sz w:val="15"/>
                <w:szCs w:val="15"/>
              </w:rPr>
              <w:t>18 meses</w:t>
            </w:r>
          </w:p>
        </w:tc>
      </w:tr>
      <w:tr w14:paraId="70CB8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3ECB2302">
            <w:pPr>
              <w:widowControl/>
              <w:suppressAutoHyphens/>
              <w:spacing w:before="80" w:after="80" w:line="264" w:lineRule="auto"/>
              <w:jc w:val="both"/>
              <w:rPr>
                <w:rFonts w:eastAsiaTheme="minorHAnsi"/>
                <w:sz w:val="15"/>
                <w:szCs w:val="15"/>
              </w:rPr>
            </w:pPr>
            <w:r>
              <w:rPr>
                <w:rFonts w:eastAsiaTheme="minorHAnsi"/>
                <w:kern w:val="0"/>
                <w:sz w:val="15"/>
                <w:szCs w:val="15"/>
              </w:rPr>
              <w:t>Prestar declaração falsa durante a execução do contrato</w:t>
            </w:r>
          </w:p>
        </w:tc>
        <w:tc>
          <w:tcPr>
            <w:tcW w:w="3402" w:type="dxa"/>
            <w:vAlign w:val="center"/>
          </w:tcPr>
          <w:p w14:paraId="5AC34691">
            <w:pPr>
              <w:widowControl/>
              <w:suppressAutoHyphens/>
              <w:spacing w:before="80" w:after="80" w:line="264" w:lineRule="auto"/>
              <w:jc w:val="center"/>
              <w:rPr>
                <w:rFonts w:eastAsiaTheme="minorHAnsi"/>
                <w:sz w:val="15"/>
                <w:szCs w:val="15"/>
              </w:rPr>
            </w:pPr>
            <w:r>
              <w:rPr>
                <w:rFonts w:eastAsiaTheme="minorHAnsi"/>
                <w:kern w:val="0"/>
                <w:sz w:val="15"/>
                <w:szCs w:val="15"/>
              </w:rPr>
              <w:t>Declaração de Inidoneidade para licitar ou contratar com todos os entes federativos</w:t>
            </w:r>
          </w:p>
        </w:tc>
        <w:tc>
          <w:tcPr>
            <w:tcW w:w="1559" w:type="dxa"/>
            <w:vAlign w:val="center"/>
          </w:tcPr>
          <w:p w14:paraId="6B3355E6">
            <w:pPr>
              <w:widowControl/>
              <w:suppressAutoHyphens/>
              <w:spacing w:before="80" w:after="80" w:line="264" w:lineRule="auto"/>
              <w:jc w:val="center"/>
              <w:rPr>
                <w:rFonts w:eastAsiaTheme="minorHAnsi"/>
                <w:sz w:val="15"/>
                <w:szCs w:val="15"/>
              </w:rPr>
            </w:pPr>
            <w:r>
              <w:rPr>
                <w:rFonts w:eastAsiaTheme="minorHAnsi"/>
                <w:kern w:val="0"/>
                <w:sz w:val="15"/>
                <w:szCs w:val="15"/>
              </w:rPr>
              <w:t>4 anos e 6 meses</w:t>
            </w:r>
          </w:p>
        </w:tc>
      </w:tr>
      <w:tr w14:paraId="196C9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521E24A9">
            <w:pPr>
              <w:widowControl/>
              <w:suppressAutoHyphens/>
              <w:spacing w:before="80" w:after="80" w:line="264" w:lineRule="auto"/>
              <w:jc w:val="both"/>
              <w:rPr>
                <w:rFonts w:eastAsiaTheme="minorHAnsi"/>
                <w:sz w:val="15"/>
                <w:szCs w:val="15"/>
              </w:rPr>
            </w:pPr>
            <w:r>
              <w:rPr>
                <w:rFonts w:eastAsiaTheme="minorHAnsi"/>
                <w:kern w:val="0"/>
                <w:sz w:val="15"/>
                <w:szCs w:val="15"/>
              </w:rPr>
              <w:t>Praticar ato fraudulento na execução do contrato</w:t>
            </w:r>
          </w:p>
        </w:tc>
        <w:tc>
          <w:tcPr>
            <w:tcW w:w="3402" w:type="dxa"/>
            <w:vAlign w:val="center"/>
          </w:tcPr>
          <w:p w14:paraId="1B2833D9">
            <w:pPr>
              <w:widowControl/>
              <w:suppressAutoHyphens/>
              <w:spacing w:before="80" w:after="80" w:line="264" w:lineRule="auto"/>
              <w:jc w:val="center"/>
              <w:rPr>
                <w:rFonts w:eastAsiaTheme="minorHAnsi"/>
                <w:sz w:val="15"/>
                <w:szCs w:val="15"/>
              </w:rPr>
            </w:pPr>
            <w:r>
              <w:rPr>
                <w:rFonts w:eastAsiaTheme="minorHAnsi"/>
                <w:kern w:val="0"/>
                <w:sz w:val="15"/>
                <w:szCs w:val="15"/>
              </w:rPr>
              <w:t>Declaração de Inidoneidade para licitar ou contratar com todos os entes federativos</w:t>
            </w:r>
          </w:p>
        </w:tc>
        <w:tc>
          <w:tcPr>
            <w:tcW w:w="1559" w:type="dxa"/>
            <w:vAlign w:val="center"/>
          </w:tcPr>
          <w:p w14:paraId="3D75ED2E">
            <w:pPr>
              <w:widowControl/>
              <w:suppressAutoHyphens/>
              <w:spacing w:before="80" w:after="80" w:line="264" w:lineRule="auto"/>
              <w:jc w:val="center"/>
              <w:rPr>
                <w:rFonts w:eastAsiaTheme="minorHAnsi"/>
                <w:sz w:val="15"/>
                <w:szCs w:val="15"/>
              </w:rPr>
            </w:pPr>
            <w:r>
              <w:rPr>
                <w:rFonts w:eastAsiaTheme="minorHAnsi"/>
                <w:kern w:val="0"/>
                <w:sz w:val="15"/>
                <w:szCs w:val="15"/>
              </w:rPr>
              <w:t>4 anos e 6 meses</w:t>
            </w:r>
          </w:p>
        </w:tc>
      </w:tr>
      <w:tr w14:paraId="4900D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1A393016">
            <w:pPr>
              <w:widowControl/>
              <w:suppressAutoHyphens/>
              <w:spacing w:before="80" w:after="80" w:line="264" w:lineRule="auto"/>
              <w:jc w:val="both"/>
              <w:rPr>
                <w:rFonts w:eastAsiaTheme="minorHAnsi"/>
                <w:sz w:val="15"/>
                <w:szCs w:val="15"/>
              </w:rPr>
            </w:pPr>
            <w:r>
              <w:rPr>
                <w:rFonts w:eastAsiaTheme="minorHAnsi"/>
                <w:kern w:val="0"/>
                <w:sz w:val="15"/>
                <w:szCs w:val="15"/>
              </w:rPr>
              <w:t>Comportar-se de modo inidôneo ou cometer fraude de qualquer natureza</w:t>
            </w:r>
          </w:p>
        </w:tc>
        <w:tc>
          <w:tcPr>
            <w:tcW w:w="3402" w:type="dxa"/>
            <w:vAlign w:val="center"/>
          </w:tcPr>
          <w:p w14:paraId="2EBA99C7">
            <w:pPr>
              <w:widowControl/>
              <w:suppressAutoHyphens/>
              <w:spacing w:before="80" w:after="80" w:line="264" w:lineRule="auto"/>
              <w:jc w:val="center"/>
              <w:rPr>
                <w:rFonts w:eastAsiaTheme="minorHAnsi"/>
                <w:sz w:val="15"/>
                <w:szCs w:val="15"/>
              </w:rPr>
            </w:pPr>
            <w:r>
              <w:rPr>
                <w:rFonts w:eastAsiaTheme="minorHAnsi"/>
                <w:kern w:val="0"/>
                <w:sz w:val="15"/>
                <w:szCs w:val="15"/>
              </w:rPr>
              <w:t>Declaração de Inidoneidade para licitar ou contratar com todos os entes federativos</w:t>
            </w:r>
          </w:p>
        </w:tc>
        <w:tc>
          <w:tcPr>
            <w:tcW w:w="1559" w:type="dxa"/>
            <w:vAlign w:val="center"/>
          </w:tcPr>
          <w:p w14:paraId="5BE1D0D5">
            <w:pPr>
              <w:widowControl/>
              <w:suppressAutoHyphens/>
              <w:spacing w:before="80" w:after="80" w:line="264" w:lineRule="auto"/>
              <w:jc w:val="center"/>
              <w:rPr>
                <w:rFonts w:eastAsiaTheme="minorHAnsi"/>
                <w:sz w:val="15"/>
                <w:szCs w:val="15"/>
              </w:rPr>
            </w:pPr>
            <w:r>
              <w:rPr>
                <w:rFonts w:eastAsiaTheme="minorHAnsi"/>
                <w:kern w:val="0"/>
                <w:sz w:val="15"/>
                <w:szCs w:val="15"/>
              </w:rPr>
              <w:t>4 anos e 6 meses</w:t>
            </w:r>
          </w:p>
        </w:tc>
      </w:tr>
      <w:tr w14:paraId="4842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395" w:type="dxa"/>
            <w:vAlign w:val="center"/>
          </w:tcPr>
          <w:p w14:paraId="36478470">
            <w:pPr>
              <w:widowControl/>
              <w:suppressAutoHyphens/>
              <w:spacing w:before="80" w:after="80" w:line="264" w:lineRule="auto"/>
              <w:jc w:val="both"/>
              <w:rPr>
                <w:rFonts w:eastAsiaTheme="minorHAnsi"/>
                <w:sz w:val="15"/>
                <w:szCs w:val="15"/>
              </w:rPr>
            </w:pPr>
            <w:r>
              <w:rPr>
                <w:rFonts w:eastAsiaTheme="minorHAnsi"/>
                <w:kern w:val="0"/>
                <w:sz w:val="15"/>
                <w:szCs w:val="15"/>
              </w:rPr>
              <w:t>Praticar ato lesivo previsto no art. 5º da Lei nº 12.846, de 1º de agosto de 2013</w:t>
            </w:r>
          </w:p>
        </w:tc>
        <w:tc>
          <w:tcPr>
            <w:tcW w:w="3402" w:type="dxa"/>
            <w:vAlign w:val="center"/>
          </w:tcPr>
          <w:p w14:paraId="3D2E2272">
            <w:pPr>
              <w:widowControl/>
              <w:suppressAutoHyphens/>
              <w:spacing w:before="80" w:after="80" w:line="264" w:lineRule="auto"/>
              <w:jc w:val="center"/>
              <w:rPr>
                <w:rFonts w:eastAsiaTheme="minorHAnsi"/>
                <w:sz w:val="15"/>
                <w:szCs w:val="15"/>
              </w:rPr>
            </w:pPr>
            <w:r>
              <w:rPr>
                <w:rFonts w:eastAsiaTheme="minorHAnsi"/>
                <w:kern w:val="0"/>
                <w:sz w:val="15"/>
                <w:szCs w:val="15"/>
              </w:rPr>
              <w:t>Declaração de Inidoneidade para licitar ou contratar com todos os entes federativos</w:t>
            </w:r>
          </w:p>
        </w:tc>
        <w:tc>
          <w:tcPr>
            <w:tcW w:w="1559" w:type="dxa"/>
            <w:vAlign w:val="center"/>
          </w:tcPr>
          <w:p w14:paraId="1F192501">
            <w:pPr>
              <w:widowControl/>
              <w:suppressAutoHyphens/>
              <w:spacing w:before="80" w:after="80" w:line="264" w:lineRule="auto"/>
              <w:jc w:val="center"/>
              <w:rPr>
                <w:rFonts w:eastAsiaTheme="minorHAnsi"/>
                <w:sz w:val="15"/>
                <w:szCs w:val="15"/>
              </w:rPr>
            </w:pPr>
            <w:r>
              <w:rPr>
                <w:rFonts w:eastAsiaTheme="minorHAnsi"/>
                <w:kern w:val="0"/>
                <w:sz w:val="15"/>
                <w:szCs w:val="15"/>
              </w:rPr>
              <w:t>4 anos e 6 meses</w:t>
            </w:r>
          </w:p>
        </w:tc>
      </w:tr>
    </w:tbl>
    <w:p w14:paraId="5F411BF8">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FORMAS DE COMUNICAÇÃO ENTRE CONTRATANTE E CONTRATADO</w:t>
      </w:r>
    </w:p>
    <w:p w14:paraId="45D1CB13">
      <w:pPr>
        <w:pStyle w:val="65"/>
        <w:numPr>
          <w:ilvl w:val="1"/>
          <w:numId w:val="19"/>
        </w:numPr>
        <w:tabs>
          <w:tab w:val="left" w:pos="0"/>
        </w:tabs>
        <w:ind w:left="0" w:firstLine="0"/>
      </w:pPr>
      <w:r>
        <w:t>É facultada a qualquer das partes, a solicitação de reunião, prevista no art. 139 do Decreto municipal nº 24.731/2023, devendo ser observadas as exigências dos §§ 1º e 2º art. 139 do Decreto municipal nº 24.731/2023.</w:t>
      </w:r>
    </w:p>
    <w:p w14:paraId="0F82DFF7">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 xml:space="preserve">O contratado deverá comunicar-se com o contratante através do fiscal do contrato e seu substituto, em regra por e-mail, sendo admitidos outros meios de comunicação, desde que posteriormente formalizado no processo. </w:t>
      </w:r>
    </w:p>
    <w:p w14:paraId="322ADDE6">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Todas as reclamações ou solicitações do contratado serão registradas nos autos do processo de gestão e fiscalização e respondidas no prazo de 60 (sessenta) dias, admitida, desde que justificada, a prorrogação desse prazo, exceto os pedidos de repactuação, que tem prazo de um mês.</w:t>
      </w:r>
    </w:p>
    <w:p w14:paraId="16F05B88">
      <w:pPr>
        <w:pStyle w:val="67"/>
        <w:numPr>
          <w:ilvl w:val="2"/>
          <w:numId w:val="19"/>
        </w:numPr>
        <w:tabs>
          <w:tab w:val="left" w:pos="0"/>
        </w:tabs>
        <w:ind w:left="0" w:firstLine="0"/>
      </w:pPr>
      <w:r>
        <w:t>O prazo de resposta será suspenso em caso de solicitação de informações ou realização de diligências pelo contratante, sendo retomado quando obtida a informação.</w:t>
      </w:r>
    </w:p>
    <w:p w14:paraId="0E74FBE7">
      <w:pPr>
        <w:pStyle w:val="41"/>
        <w:numPr>
          <w:ilvl w:val="2"/>
          <w:numId w:val="19"/>
        </w:numPr>
        <w:tabs>
          <w:tab w:val="left" w:pos="0"/>
          <w:tab w:val="left" w:pos="1134"/>
          <w:tab w:val="left" w:pos="1843"/>
        </w:tabs>
        <w:spacing w:before="120" w:after="0" w:line="264" w:lineRule="auto"/>
        <w:ind w:left="0" w:firstLine="0"/>
        <w:contextualSpacing w:val="0"/>
        <w:jc w:val="both"/>
        <w:rPr>
          <w:rFonts w:cs="Arial"/>
        </w:rPr>
      </w:pPr>
      <w:r>
        <w:rPr>
          <w:rFonts w:cs="Arial"/>
        </w:rPr>
        <w:t>Na hipótese de não ser cumprido o prazo de resposta, será facultado ao contratado apresentar denúncia à Controladoria-Geral do Município para fins de responsabilização do servidor.</w:t>
      </w:r>
    </w:p>
    <w:p w14:paraId="48555325">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MANUTENÇÃO DAS CONDIÇÕES DE HABILITAÇÃO</w:t>
      </w:r>
    </w:p>
    <w:p w14:paraId="34231BA5">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O contratante, por intermédio da Diretoria Especial de Compras, acompanhará a manutenção das condições de habilitação pelo contratado por modelo auto declaratório, cabendo ao contratado informar, no prazo de 15 (quinze) dias, a mudança da sua situação, sob pena de infração equiparada à declaração falsa, com a correspondente instauração de procedimento administrativo sancionatório e aplicação de sanção.</w:t>
      </w:r>
    </w:p>
    <w:p w14:paraId="03F25701">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A ausência ou omissão de declaração por parte do contratado corresponde, para todos os efeitos, à declaração da manutenção das condições de habilitação.</w:t>
      </w:r>
    </w:p>
    <w:p w14:paraId="4B79E4E5">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Nas hipóteses em que houver alteração de condição de habilitação:</w:t>
      </w:r>
    </w:p>
    <w:p w14:paraId="48245DA3">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o contratado deverá providenciar a regularização no prazo de 30 (trinta) dias, contados da ocorrência que gerou o não atendimento da condição de habilitação; e</w:t>
      </w:r>
    </w:p>
    <w:p w14:paraId="3BCEBA23">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será aplicada multa mensal de 5% (cinco por cento) sobre as faturas emitidas enquanto persistir a situação de irregularidade.</w:t>
      </w:r>
    </w:p>
    <w:p w14:paraId="2C92C982">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O contratante poderá diligenciar as condições de habilitação do contratado e aplicar sanção de declaração de inidoneidade para licitar ou contratar por 4 (quatro) anos e 6 (seis) meses pelo descumprimento da obrigação de informar a mudança da sua situação.</w:t>
      </w:r>
    </w:p>
    <w:p w14:paraId="521F94A2">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NORMAS AMBIENTAIS E LOGÍSTICA REVERSA</w:t>
      </w:r>
    </w:p>
    <w:p w14:paraId="7DCC6C64">
      <w:pPr>
        <w:pStyle w:val="41"/>
        <w:numPr>
          <w:ilvl w:val="1"/>
          <w:numId w:val="19"/>
        </w:numPr>
        <w:tabs>
          <w:tab w:val="left" w:pos="0"/>
          <w:tab w:val="left" w:pos="851"/>
          <w:tab w:val="left" w:pos="1843"/>
        </w:tabs>
        <w:spacing w:before="120" w:after="0" w:line="264" w:lineRule="auto"/>
        <w:ind w:left="0" w:firstLine="0"/>
        <w:contextualSpacing w:val="0"/>
        <w:jc w:val="both"/>
        <w:rPr>
          <w:rFonts w:hint="default" w:ascii="Arial" w:hAnsi="Arial" w:cs="Arial"/>
        </w:rPr>
      </w:pPr>
      <w:r>
        <w:rPr>
          <w:rFonts w:hint="default" w:ascii="Arial" w:hAnsi="Arial" w:eastAsia="SimSun" w:cs="Arial"/>
          <w:sz w:val="24"/>
          <w:szCs w:val="24"/>
        </w:rPr>
        <w:t xml:space="preserve">Para a aquisição de produtos cujo comércio seja classificado como atividade potencialmente poluidora ou utilizadora de recursos ambientais, </w:t>
      </w:r>
      <w:r>
        <w:rPr>
          <w:rFonts w:hint="default" w:ascii="Arial" w:hAnsi="Arial" w:eastAsia="SimSun" w:cs="Arial"/>
          <w:sz w:val="24"/>
          <w:szCs w:val="24"/>
          <w:lang w:val="pt-BR"/>
        </w:rPr>
        <w:t xml:space="preserve"> a empresa deve possuir</w:t>
      </w:r>
      <w:r>
        <w:rPr>
          <w:rFonts w:hint="default" w:ascii="Arial" w:hAnsi="Arial" w:eastAsia="SimSun" w:cs="Arial"/>
          <w:sz w:val="24"/>
          <w:szCs w:val="24"/>
        </w:rPr>
        <w:t xml:space="preserve"> inscrição no Cadastro Técnico Federal de Atividades Potencialmente Poluidoras ou Utilizadoras de Recursos Ambientais (CTF/APP), </w:t>
      </w:r>
      <w:r>
        <w:rPr>
          <w:rFonts w:hint="default" w:ascii="Arial" w:hAnsi="Arial" w:eastAsia="SimSun" w:cs="Arial"/>
          <w:sz w:val="24"/>
          <w:szCs w:val="24"/>
          <w:lang w:val="pt-BR"/>
        </w:rPr>
        <w:t xml:space="preserve">além do  </w:t>
      </w:r>
      <w:r>
        <w:rPr>
          <w:rFonts w:hint="default" w:ascii="Arial" w:hAnsi="Arial" w:eastAsia="SimSun" w:cs="Arial"/>
          <w:sz w:val="24"/>
          <w:szCs w:val="24"/>
        </w:rPr>
        <w:t xml:space="preserve"> Certificado de Regularidade válido, conforme art. 17, II, da Lei nº 6.938/1981 e Instrução Normativa IBAMA nº 13/2021.</w:t>
      </w:r>
    </w:p>
    <w:p w14:paraId="78AE1D8A">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bCs/>
        </w:rPr>
      </w:pPr>
      <w:r>
        <w:rPr>
          <w:rFonts w:cs="Arial"/>
          <w:b/>
          <w:bCs/>
        </w:rPr>
        <w:t>PROTEÇÃO DE DADOS</w:t>
      </w:r>
    </w:p>
    <w:p w14:paraId="70197F82">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 xml:space="preserve">As partes se obrigam a cumprir a Lei Geral de Proteção de Dados - Lei n° 13.709/2018, no que for cabível em face do objeto deste contrato, em especial a: </w:t>
      </w:r>
    </w:p>
    <w:p w14:paraId="20EE1455">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guardar sigilo quanto aos dados pessoais aos quais eventualmente tenham acesso em razão da execução do objeto deste contrato; </w:t>
      </w:r>
    </w:p>
    <w:p w14:paraId="076B350B">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tratar os dados pessoais recebidos de acordo com a finalidade da contratação, de modo legítimo e lícito, entendendo-se por tratamento de dados os atos que se refiram a coleta, produção, recepção, classificação, utilização, acesso, reprodução, transmissão, distribuição, processamento, arquivamento, armazenamento, eliminação, avaliação ou controle da informação, modificação, comunicação, transferência, difusão ou extração de dados; </w:t>
      </w:r>
    </w:p>
    <w:p w14:paraId="561ACE1C">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garantir ao titular de dados a consulta gratuita e facilitada aos seus dados pessoais, bem como a forma, duração e finalidade do tratamento; </w:t>
      </w:r>
    </w:p>
    <w:p w14:paraId="5582F404">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não utilizar os dados pessoais recebidos ou tratá-los com fins discriminatórios, ilícitos, abusivos ou para finalidade distinta da contratação; </w:t>
      </w:r>
    </w:p>
    <w:p w14:paraId="63C73C43">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fazer uso somente dos dados pessoais que forem imprescindíveis à execução do objeto; </w:t>
      </w:r>
    </w:p>
    <w:p w14:paraId="05C268D3">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adotar todas as medidas previstas em lei para evitar o vazamento de dados pessoais que receber ou o acesso por pessoal não autorizado; </w:t>
      </w:r>
    </w:p>
    <w:p w14:paraId="1A6B8669">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em caso de vazamento de dados pessoais, adotar as providências necessárias para mitigar as consequências do dano, informando ao contratante, no prazo de até 48 (quarenta e oito) horas: </w:t>
      </w:r>
    </w:p>
    <w:p w14:paraId="52B649AF">
      <w:pPr>
        <w:pStyle w:val="41"/>
        <w:numPr>
          <w:ilvl w:val="3"/>
          <w:numId w:val="19"/>
        </w:numPr>
        <w:tabs>
          <w:tab w:val="left" w:pos="0"/>
          <w:tab w:val="left" w:pos="1276"/>
          <w:tab w:val="left" w:pos="1843"/>
        </w:tabs>
        <w:spacing w:before="120" w:after="0" w:line="264" w:lineRule="auto"/>
        <w:ind w:left="0" w:firstLine="0"/>
        <w:contextualSpacing w:val="0"/>
        <w:jc w:val="both"/>
        <w:rPr>
          <w:rFonts w:cs="Arial"/>
        </w:rPr>
      </w:pPr>
      <w:r>
        <w:rPr>
          <w:rFonts w:cs="Arial"/>
        </w:rPr>
        <w:t>a descrição da natureza dos dados pessoais afetados;</w:t>
      </w:r>
    </w:p>
    <w:p w14:paraId="2D5F34F8">
      <w:pPr>
        <w:pStyle w:val="41"/>
        <w:numPr>
          <w:ilvl w:val="3"/>
          <w:numId w:val="19"/>
        </w:numPr>
        <w:tabs>
          <w:tab w:val="left" w:pos="0"/>
          <w:tab w:val="left" w:pos="1276"/>
          <w:tab w:val="left" w:pos="1843"/>
        </w:tabs>
        <w:spacing w:before="120" w:after="0" w:line="264" w:lineRule="auto"/>
        <w:ind w:left="0" w:firstLine="0"/>
        <w:contextualSpacing w:val="0"/>
        <w:jc w:val="both"/>
        <w:rPr>
          <w:rFonts w:cs="Arial"/>
        </w:rPr>
      </w:pPr>
      <w:r>
        <w:rPr>
          <w:rFonts w:cs="Arial"/>
        </w:rPr>
        <w:t xml:space="preserve">as informações sobre os titulares envolvidos; </w:t>
      </w:r>
    </w:p>
    <w:p w14:paraId="7456ED04">
      <w:pPr>
        <w:pStyle w:val="41"/>
        <w:numPr>
          <w:ilvl w:val="3"/>
          <w:numId w:val="19"/>
        </w:numPr>
        <w:tabs>
          <w:tab w:val="left" w:pos="0"/>
          <w:tab w:val="left" w:pos="1276"/>
          <w:tab w:val="left" w:pos="1843"/>
        </w:tabs>
        <w:spacing w:before="120" w:after="0" w:line="264" w:lineRule="auto"/>
        <w:ind w:left="0" w:firstLine="0"/>
        <w:contextualSpacing w:val="0"/>
        <w:jc w:val="both"/>
        <w:rPr>
          <w:rFonts w:cs="Arial"/>
        </w:rPr>
      </w:pPr>
      <w:r>
        <w:rPr>
          <w:rFonts w:cs="Arial"/>
        </w:rPr>
        <w:t>a indicação das medidas técnicas e de segurança utilizadas para a proteção dos dados, observados os segredos comercial e industrial;</w:t>
      </w:r>
    </w:p>
    <w:p w14:paraId="22C898E4">
      <w:pPr>
        <w:pStyle w:val="41"/>
        <w:numPr>
          <w:ilvl w:val="3"/>
          <w:numId w:val="19"/>
        </w:numPr>
        <w:tabs>
          <w:tab w:val="left" w:pos="0"/>
          <w:tab w:val="left" w:pos="1276"/>
          <w:tab w:val="left" w:pos="1843"/>
        </w:tabs>
        <w:spacing w:before="120" w:after="0" w:line="264" w:lineRule="auto"/>
        <w:ind w:left="0" w:firstLine="0"/>
        <w:contextualSpacing w:val="0"/>
        <w:jc w:val="both"/>
        <w:rPr>
          <w:rFonts w:cs="Arial"/>
        </w:rPr>
      </w:pPr>
      <w:r>
        <w:rPr>
          <w:rFonts w:cs="Arial"/>
        </w:rPr>
        <w:t xml:space="preserve">os riscos relacionados ao incidente; </w:t>
      </w:r>
    </w:p>
    <w:p w14:paraId="323E2674">
      <w:pPr>
        <w:pStyle w:val="41"/>
        <w:numPr>
          <w:ilvl w:val="3"/>
          <w:numId w:val="19"/>
        </w:numPr>
        <w:tabs>
          <w:tab w:val="left" w:pos="0"/>
          <w:tab w:val="left" w:pos="1276"/>
          <w:tab w:val="left" w:pos="1843"/>
        </w:tabs>
        <w:spacing w:before="120" w:after="0" w:line="264" w:lineRule="auto"/>
        <w:ind w:left="0" w:firstLine="0"/>
        <w:contextualSpacing w:val="0"/>
        <w:jc w:val="both"/>
        <w:rPr>
          <w:rFonts w:cs="Arial"/>
        </w:rPr>
      </w:pPr>
      <w:r>
        <w:rPr>
          <w:rFonts w:cs="Arial"/>
        </w:rPr>
        <w:t>os motivos da demora, no caso de a comunicação não ter sido imediata; e</w:t>
      </w:r>
    </w:p>
    <w:p w14:paraId="089DF43D">
      <w:pPr>
        <w:pStyle w:val="41"/>
        <w:numPr>
          <w:ilvl w:val="3"/>
          <w:numId w:val="19"/>
        </w:numPr>
        <w:tabs>
          <w:tab w:val="left" w:pos="0"/>
          <w:tab w:val="left" w:pos="1276"/>
          <w:tab w:val="left" w:pos="1843"/>
        </w:tabs>
        <w:spacing w:before="120" w:after="0" w:line="264" w:lineRule="auto"/>
        <w:ind w:left="0" w:firstLine="0"/>
        <w:contextualSpacing w:val="0"/>
        <w:jc w:val="both"/>
        <w:rPr>
          <w:rFonts w:cs="Arial"/>
        </w:rPr>
      </w:pPr>
      <w:r>
        <w:rPr>
          <w:rFonts w:cs="Arial"/>
        </w:rPr>
        <w:t>as medidas que foram ou que serão adotadas para reverter ou mitigar os efeitos do prejuízo.</w:t>
      </w:r>
    </w:p>
    <w:p w14:paraId="3A9303F7">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demonstrar, sempre que solicitado, a adoção de medidas eficazes para comprovar a observância e o cumprimento das normas de proteção de dados; </w:t>
      </w:r>
    </w:p>
    <w:p w14:paraId="24B42872">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utilizar medidas técnicas e organizacionais de modo a proteger os dados pessoais de tratamento não autorizado; </w:t>
      </w:r>
    </w:p>
    <w:p w14:paraId="0DCD84E3">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armazenar os dados somente pelo período necessário para cumprir as obrigações contratuais e legais; </w:t>
      </w:r>
    </w:p>
    <w:p w14:paraId="54A14BEE">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 xml:space="preserve">apagar todos os dados pessoais quando solicitado pelo contratante ou, não sendo possível, justificar com a base legal ou contratual a retenção dos dados; </w:t>
      </w:r>
    </w:p>
    <w:p w14:paraId="6F94957C">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anonimizar os dados pessoais quando solicitado pelo contratante, ou, não sendo possível, justificar com a base legal ou contratual; e</w:t>
      </w:r>
    </w:p>
    <w:p w14:paraId="4C25B30F">
      <w:pPr>
        <w:pStyle w:val="41"/>
        <w:numPr>
          <w:ilvl w:val="2"/>
          <w:numId w:val="19"/>
        </w:numPr>
        <w:tabs>
          <w:tab w:val="left" w:pos="0"/>
          <w:tab w:val="left" w:pos="993"/>
          <w:tab w:val="left" w:pos="1843"/>
        </w:tabs>
        <w:spacing w:before="120" w:after="0" w:line="264" w:lineRule="auto"/>
        <w:ind w:left="0" w:firstLine="0"/>
        <w:contextualSpacing w:val="0"/>
        <w:jc w:val="both"/>
        <w:rPr>
          <w:rFonts w:cs="Arial"/>
        </w:rPr>
      </w:pPr>
      <w:r>
        <w:rPr>
          <w:rFonts w:cs="Arial"/>
        </w:rPr>
        <w:t>não compartilhar com terceiros, em hipótese alguma, os dados pessoais que receber em decorrência do contrato.</w:t>
      </w:r>
    </w:p>
    <w:p w14:paraId="1054E9BB">
      <w:pPr>
        <w:pStyle w:val="41"/>
        <w:numPr>
          <w:ilvl w:val="1"/>
          <w:numId w:val="19"/>
        </w:numPr>
        <w:tabs>
          <w:tab w:val="left" w:pos="0"/>
          <w:tab w:val="left" w:pos="851"/>
          <w:tab w:val="left" w:pos="1843"/>
        </w:tabs>
        <w:spacing w:before="120" w:after="0" w:line="264" w:lineRule="auto"/>
        <w:ind w:left="0" w:firstLine="0"/>
        <w:contextualSpacing w:val="0"/>
        <w:jc w:val="both"/>
        <w:rPr>
          <w:rFonts w:cs="Arial"/>
        </w:rPr>
      </w:pPr>
      <w:r>
        <w:rPr>
          <w:rFonts w:cs="Arial"/>
        </w:rPr>
        <w:t>O contratado ficará obrigado a reparar os danos patrimoniais ou morais, individuais ou coletivos, que sua ação ou omissão, no exercício da atividade de tratamento de dados pessoais relativas a este contrato, em violação à legislação de proteção de dados pessoais, causarem ao contratante ou a terceiros, sem prejuízo das demais sanções contratuais.</w:t>
      </w:r>
    </w:p>
    <w:p w14:paraId="174986DB">
      <w:pPr>
        <w:pStyle w:val="41"/>
        <w:keepNext/>
        <w:numPr>
          <w:ilvl w:val="0"/>
          <w:numId w:val="19"/>
        </w:numPr>
        <w:pBdr>
          <w:bottom w:val="thinThickMediumGap" w:color="000000" w:sz="18" w:space="1"/>
        </w:pBdr>
        <w:tabs>
          <w:tab w:val="left" w:pos="0"/>
          <w:tab w:val="left" w:pos="2127"/>
        </w:tabs>
        <w:spacing w:before="360" w:after="0" w:line="264" w:lineRule="auto"/>
        <w:ind w:left="0" w:firstLine="0"/>
        <w:contextualSpacing w:val="0"/>
        <w:jc w:val="both"/>
        <w:rPr>
          <w:rFonts w:cs="Arial"/>
          <w:b/>
        </w:rPr>
      </w:pPr>
      <w:r>
        <w:rPr>
          <w:rFonts w:cs="Arial"/>
          <w:b/>
          <w:bCs/>
        </w:rPr>
        <w:t>CONDIÇÕES</w:t>
      </w:r>
      <w:r>
        <w:rPr>
          <w:rFonts w:cs="Arial"/>
          <w:b/>
        </w:rPr>
        <w:t xml:space="preserve"> DE RECEBIMENTO</w:t>
      </w:r>
      <w:r>
        <w:rPr>
          <w:rFonts w:hint="default" w:cs="Arial"/>
          <w:b/>
          <w:lang w:val="pt-BR"/>
        </w:rPr>
        <w:t xml:space="preserve"> </w:t>
      </w:r>
    </w:p>
    <w:p w14:paraId="24D6EC1D">
      <w:pPr>
        <w:pStyle w:val="41"/>
        <w:numPr>
          <w:ilvl w:val="1"/>
          <w:numId w:val="19"/>
        </w:numPr>
        <w:tabs>
          <w:tab w:val="left" w:pos="0"/>
          <w:tab w:val="left" w:pos="851"/>
          <w:tab w:val="left" w:pos="1843"/>
        </w:tabs>
        <w:spacing w:before="120" w:after="0" w:line="264" w:lineRule="auto"/>
        <w:ind w:left="0" w:firstLine="0"/>
        <w:contextualSpacing w:val="0"/>
        <w:jc w:val="both"/>
        <w:rPr>
          <w:rFonts w:ascii="Arial" w:hAnsi="Arial" w:cs="Arial"/>
        </w:rPr>
      </w:pPr>
      <w:r>
        <w:rPr>
          <w:rFonts w:cs="Arial"/>
          <w:i w:val="0"/>
          <w:iCs w:val="0"/>
          <w:color w:val="000000"/>
          <w:spacing w:val="0"/>
          <w:sz w:val="24"/>
          <w:szCs w:val="24"/>
          <w:shd w:val="clear" w:fill="FFFFFF"/>
          <w:lang w:val="pt-BR"/>
        </w:rPr>
        <w:t>Os bens serão recebidos provisoriamente</w:t>
      </w:r>
      <w:r>
        <w:rPr>
          <w:rFonts w:hint="default" w:cs="Arial"/>
          <w:i w:val="0"/>
          <w:iCs w:val="0"/>
          <w:color w:val="000000"/>
          <w:spacing w:val="0"/>
          <w:sz w:val="24"/>
          <w:szCs w:val="24"/>
          <w:shd w:val="clear" w:fill="FFFFFF"/>
          <w:lang w:val="pt-BR"/>
        </w:rPr>
        <w:t xml:space="preserve">, </w:t>
      </w:r>
      <w:r>
        <w:rPr>
          <w:rFonts w:hint="default" w:cs="Arial"/>
          <w:sz w:val="24"/>
          <w:szCs w:val="24"/>
          <w:lang w:val="pt-BR" w:eastAsia="zh-CN"/>
        </w:rPr>
        <w:t>em até 02 (dois) dias após o recebimento do produto,</w:t>
      </w:r>
      <w:r>
        <w:rPr>
          <w:rFonts w:hint="default" w:cs="Arial"/>
          <w:i w:val="0"/>
          <w:iCs w:val="0"/>
          <w:color w:val="000000"/>
          <w:spacing w:val="0"/>
          <w:sz w:val="24"/>
          <w:szCs w:val="24"/>
          <w:shd w:val="clear" w:fill="FFFFFF"/>
          <w:lang w:val="pt-BR"/>
        </w:rPr>
        <w:t xml:space="preserve"> </w:t>
      </w:r>
      <w:r>
        <w:rPr>
          <w:rFonts w:hint="default" w:ascii="Arial" w:hAnsi="Arial" w:cs="Arial"/>
          <w:sz w:val="24"/>
          <w:szCs w:val="24"/>
          <w:lang w:val="en-US" w:eastAsia="zh-CN"/>
        </w:rPr>
        <w:t>pelo fiscal do contrato</w:t>
      </w:r>
      <w:r>
        <w:rPr>
          <w:rFonts w:hint="default" w:ascii="Arial" w:hAnsi="Arial" w:cs="Arial"/>
          <w:sz w:val="24"/>
          <w:szCs w:val="24"/>
          <w:lang w:val="pt-BR" w:eastAsia="zh-CN"/>
        </w:rPr>
        <w:t xml:space="preserve"> </w:t>
      </w:r>
      <w:r>
        <w:rPr>
          <w:rFonts w:hint="default" w:cs="Arial"/>
          <w:sz w:val="24"/>
          <w:szCs w:val="24"/>
          <w:lang w:val="pt-BR" w:eastAsia="zh-CN"/>
        </w:rPr>
        <w:t>/</w:t>
      </w:r>
      <w:r>
        <w:rPr>
          <w:rFonts w:hint="default" w:ascii="Arial" w:hAnsi="Arial" w:cs="Arial"/>
          <w:sz w:val="24"/>
          <w:szCs w:val="24"/>
          <w:lang w:val="pt-BR" w:eastAsia="zh-CN"/>
        </w:rPr>
        <w:t>e</w:t>
      </w:r>
      <w:r>
        <w:rPr>
          <w:rFonts w:hint="default" w:cs="Arial"/>
          <w:sz w:val="24"/>
          <w:szCs w:val="24"/>
          <w:lang w:val="pt-BR" w:eastAsia="zh-CN"/>
        </w:rPr>
        <w:t xml:space="preserve"> ou</w:t>
      </w:r>
      <w:r>
        <w:rPr>
          <w:rFonts w:hint="default" w:ascii="Arial" w:hAnsi="Arial" w:cs="Arial"/>
          <w:sz w:val="24"/>
          <w:szCs w:val="24"/>
          <w:lang w:val="pt-BR" w:eastAsia="zh-CN"/>
        </w:rPr>
        <w:t xml:space="preserve"> recebedor de bens designado da Secretaria</w:t>
      </w:r>
      <w:r>
        <w:rPr>
          <w:rFonts w:hint="default" w:cs="Arial"/>
          <w:sz w:val="24"/>
          <w:szCs w:val="24"/>
          <w:lang w:val="pt-BR" w:eastAsia="zh-CN"/>
        </w:rPr>
        <w:t>.</w:t>
      </w:r>
    </w:p>
    <w:p w14:paraId="72EABFCD">
      <w:pPr>
        <w:pStyle w:val="41"/>
        <w:numPr>
          <w:ilvl w:val="1"/>
          <w:numId w:val="19"/>
        </w:numPr>
        <w:tabs>
          <w:tab w:val="left" w:pos="0"/>
          <w:tab w:val="left" w:pos="851"/>
          <w:tab w:val="left" w:pos="1843"/>
        </w:tabs>
        <w:spacing w:before="120" w:after="0" w:line="264" w:lineRule="auto"/>
        <w:ind w:left="0" w:firstLine="0"/>
        <w:contextualSpacing w:val="0"/>
        <w:jc w:val="both"/>
        <w:rPr>
          <w:rFonts w:ascii="Arial" w:hAnsi="Arial" w:cs="Arial"/>
        </w:rPr>
      </w:pPr>
      <w:r>
        <w:rPr>
          <w:rFonts w:cs="Arial"/>
          <w:i w:val="0"/>
          <w:iCs w:val="0"/>
          <w:color w:val="000000"/>
          <w:spacing w:val="0"/>
          <w:sz w:val="24"/>
          <w:szCs w:val="24"/>
          <w:shd w:val="clear" w:fill="FFFFFF"/>
          <w:lang w:val="pt-BR"/>
        </w:rPr>
        <w:t xml:space="preserve">O recebimento definitivo acontecerá em </w:t>
      </w:r>
      <w:r>
        <w:t xml:space="preserve">em até </w:t>
      </w:r>
      <w:r>
        <w:rPr>
          <w:rFonts w:hint="default"/>
          <w:lang w:val="en-US" w:eastAsia="zh-CN"/>
        </w:rPr>
        <w:t>em até 1</w:t>
      </w:r>
      <w:r>
        <w:rPr>
          <w:rFonts w:hint="default"/>
          <w:lang w:val="pt-BR" w:eastAsia="zh-CN"/>
        </w:rPr>
        <w:t>5</w:t>
      </w:r>
      <w:r>
        <w:rPr>
          <w:rFonts w:hint="default"/>
          <w:lang w:val="en-US" w:eastAsia="zh-CN"/>
        </w:rPr>
        <w:t xml:space="preserve"> (</w:t>
      </w:r>
      <w:r>
        <w:rPr>
          <w:rFonts w:hint="default"/>
          <w:lang w:val="pt-BR" w:eastAsia="zh-CN"/>
        </w:rPr>
        <w:t>quinze</w:t>
      </w:r>
      <w:r>
        <w:rPr>
          <w:rFonts w:hint="default"/>
          <w:lang w:val="en-US" w:eastAsia="zh-CN"/>
        </w:rPr>
        <w:t>) dias contados do recebimento provisório, pelo fiscal do contrato e/ou recebedor de bens designado da Secretaria para efeito de verificação da qualidade e quantidade e consequente aceitação conforme Decreto Municipal nº 24.731/2023</w:t>
      </w:r>
      <w:r>
        <w:rPr>
          <w:rFonts w:hint="default" w:ascii="Arial" w:hAnsi="Arial" w:cs="Arial"/>
          <w:sz w:val="24"/>
          <w:szCs w:val="24"/>
          <w:lang w:val="pt-BR" w:eastAsia="zh-CN"/>
        </w:rPr>
        <w:t>.</w:t>
      </w:r>
    </w:p>
    <w:p w14:paraId="1C18B432">
      <w:pPr>
        <w:pStyle w:val="41"/>
        <w:numPr>
          <w:ilvl w:val="1"/>
          <w:numId w:val="19"/>
        </w:numPr>
        <w:tabs>
          <w:tab w:val="left" w:pos="0"/>
          <w:tab w:val="left" w:pos="851"/>
          <w:tab w:val="left" w:pos="1843"/>
        </w:tabs>
        <w:spacing w:before="120" w:after="0" w:line="264" w:lineRule="auto"/>
        <w:ind w:left="0" w:firstLine="0"/>
        <w:contextualSpacing w:val="0"/>
        <w:jc w:val="both"/>
        <w:rPr>
          <w:rFonts w:ascii="Arial" w:hAnsi="Arial" w:cs="Arial"/>
        </w:rPr>
      </w:pPr>
      <w:r>
        <w:rPr>
          <w:rFonts w:hint="default"/>
          <w:b/>
          <w:bCs/>
          <w:lang w:val="pt-BR"/>
        </w:rPr>
        <w:t xml:space="preserve"> </w:t>
      </w:r>
      <w:r>
        <w:rPr>
          <w:rFonts w:hint="default" w:ascii="Arial" w:hAnsi="Arial" w:eastAsia="SimSun" w:cs="Arial"/>
          <w:color w:val="000000"/>
          <w:kern w:val="0"/>
          <w:sz w:val="24"/>
          <w:szCs w:val="24"/>
          <w:lang w:val="pt-BR" w:eastAsia="zh-CN" w:bidi="ar"/>
        </w:rPr>
        <w:t xml:space="preserve"> </w:t>
      </w:r>
      <w:r>
        <w:rPr>
          <w:rFonts w:ascii="Arial" w:hAnsi="Arial" w:cs="Arial"/>
        </w:rPr>
        <w:t>O objeto será recebido parcialmente pelo contratante quando descumprida condição de execução que possibilite o aproveitamento do objeto para os objetivos da contratação, aplicando-se a sanção cabível pelo descumprimento contratual.</w:t>
      </w:r>
    </w:p>
    <w:p w14:paraId="75C8C93A">
      <w:pPr>
        <w:pStyle w:val="41"/>
        <w:numPr>
          <w:ilvl w:val="1"/>
          <w:numId w:val="19"/>
        </w:numPr>
        <w:tabs>
          <w:tab w:val="left" w:pos="0"/>
          <w:tab w:val="left" w:pos="851"/>
          <w:tab w:val="left" w:pos="1843"/>
        </w:tabs>
        <w:spacing w:before="120" w:after="0" w:line="264" w:lineRule="auto"/>
        <w:ind w:left="0" w:firstLine="0"/>
        <w:contextualSpacing w:val="0"/>
        <w:jc w:val="both"/>
        <w:rPr>
          <w:rFonts w:ascii="Arial" w:hAnsi="Arial" w:cs="Arial"/>
        </w:rPr>
      </w:pPr>
      <w:r>
        <w:rPr>
          <w:rFonts w:ascii="Arial" w:hAnsi="Arial" w:cs="Arial"/>
        </w:rPr>
        <w:t>Caso o recebimento provisório ou o recebimento definitivo não ocorra no prazo estabelecido, o objeto será considerado tacitamente recebido.</w:t>
      </w:r>
    </w:p>
    <w:p w14:paraId="21A0604C">
      <w:pPr>
        <w:pStyle w:val="41"/>
        <w:numPr>
          <w:ilvl w:val="0"/>
          <w:numId w:val="0"/>
        </w:numPr>
        <w:tabs>
          <w:tab w:val="left" w:pos="851"/>
          <w:tab w:val="left" w:pos="1843"/>
        </w:tabs>
        <w:spacing w:before="120" w:after="0" w:line="264" w:lineRule="auto"/>
        <w:ind w:leftChars="0"/>
        <w:contextualSpacing w:val="0"/>
        <w:jc w:val="both"/>
      </w:pPr>
    </w:p>
    <w:p w14:paraId="382B966E">
      <w:pPr>
        <w:pStyle w:val="3"/>
        <w:tabs>
          <w:tab w:val="left" w:pos="2269"/>
        </w:tabs>
        <w:spacing w:before="1"/>
        <w:rPr>
          <w:rFonts w:hint="default" w:ascii="Arial" w:hAnsi="Arial" w:cs="Arial"/>
          <w:b/>
          <w:bCs/>
          <w:lang w:val="pt-BR"/>
        </w:rPr>
      </w:pPr>
      <w:r>
        <w:rPr>
          <w:rFonts w:hint="default" w:ascii="Arial" w:hAnsi="Arial" w:cs="Arial"/>
          <w:b/>
          <w:bCs/>
          <w:lang w:val="pt-BR"/>
        </w:rPr>
        <w:t>CLÁUSULA 23ª: DA RESERVA DE VAGAS</w:t>
      </w:r>
    </w:p>
    <w:p w14:paraId="121E2926">
      <w:pPr>
        <w:pStyle w:val="41"/>
        <w:keepNext w:val="0"/>
        <w:keepLines w:val="0"/>
        <w:pageBreakBefore w:val="0"/>
        <w:numPr>
          <w:ilvl w:val="0"/>
          <w:numId w:val="0"/>
        </w:numPr>
        <w:tabs>
          <w:tab w:val="left" w:pos="993"/>
        </w:tabs>
        <w:kinsoku/>
        <w:wordWrap/>
        <w:overflowPunct/>
        <w:topLinePunct w:val="0"/>
        <w:autoSpaceDE w:val="0"/>
        <w:autoSpaceDN w:val="0"/>
        <w:bidi w:val="0"/>
        <w:adjustRightInd/>
        <w:snapToGrid/>
        <w:spacing w:before="120" w:after="0" w:line="23" w:lineRule="atLeast"/>
        <w:ind w:left="0" w:leftChars="0" w:right="0" w:rightChars="0" w:firstLine="0" w:firstLineChars="0"/>
        <w:jc w:val="both"/>
        <w:textAlignment w:val="auto"/>
        <w:rPr>
          <w:rFonts w:hint="default"/>
          <w:lang w:val="pt-BR"/>
        </w:rPr>
      </w:pPr>
      <w:r>
        <mc:AlternateContent>
          <mc:Choice Requires="wpg">
            <w:drawing>
              <wp:anchor distT="0" distB="0" distL="114300" distR="114300" simplePos="0" relativeHeight="251662336" behindDoc="1" locked="0" layoutInCell="1" allowOverlap="1">
                <wp:simplePos x="0" y="0"/>
                <wp:positionH relativeFrom="page">
                  <wp:posOffset>901065</wp:posOffset>
                </wp:positionH>
                <wp:positionV relativeFrom="paragraph">
                  <wp:posOffset>79375</wp:posOffset>
                </wp:positionV>
                <wp:extent cx="6242685" cy="76200"/>
                <wp:effectExtent l="0" t="0" r="5715" b="4445"/>
                <wp:wrapTopAndBottom/>
                <wp:docPr id="147" name="Group 137"/>
                <wp:cNvGraphicFramePr/>
                <a:graphic xmlns:a="http://schemas.openxmlformats.org/drawingml/2006/main">
                  <a:graphicData uri="http://schemas.microsoft.com/office/word/2010/wordprocessingGroup">
                    <wpg:wgp>
                      <wpg:cNvGrpSpPr/>
                      <wpg:grpSpPr>
                        <a:xfrm>
                          <a:off x="0" y="0"/>
                          <a:ext cx="6242685" cy="76200"/>
                          <a:chOff x="0" y="0"/>
                          <a:chExt cx="6068060" cy="57150"/>
                        </a:xfrm>
                        <a:effectLst/>
                      </wpg:grpSpPr>
                      <wps:wsp>
                        <wps:cNvPr id="148" name="Graphic 138"/>
                        <wps:cNvSpPr/>
                        <wps:spPr>
                          <a:xfrm>
                            <a:off x="0" y="50006"/>
                            <a:ext cx="6068060" cy="1270"/>
                          </a:xfrm>
                          <a:custGeom>
                            <a:avLst/>
                            <a:gdLst/>
                            <a:ahLst/>
                            <a:cxnLst/>
                            <a:rect l="l" t="t" r="r" b="b"/>
                            <a:pathLst>
                              <a:path w="6068060">
                                <a:moveTo>
                                  <a:pt x="0" y="0"/>
                                </a:moveTo>
                                <a:lnTo>
                                  <a:pt x="6068059" y="0"/>
                                </a:lnTo>
                              </a:path>
                            </a:pathLst>
                          </a:custGeom>
                          <a:noFill/>
                          <a:ln w="14287">
                            <a:solidFill>
                              <a:srgbClr val="000000"/>
                            </a:solidFill>
                            <a:prstDash val="solid"/>
                          </a:ln>
                          <a:effectLst/>
                        </wps:spPr>
                        <wps:bodyPr wrap="square" lIns="0" tIns="0" rIns="0" bIns="0" rtlCol="0">
                          <a:noAutofit/>
                        </wps:bodyPr>
                      </wps:wsp>
                      <wps:wsp>
                        <wps:cNvPr id="149" name="Graphic 139"/>
                        <wps:cNvSpPr/>
                        <wps:spPr>
                          <a:xfrm>
                            <a:off x="0" y="14287"/>
                            <a:ext cx="6068060" cy="1270"/>
                          </a:xfrm>
                          <a:custGeom>
                            <a:avLst/>
                            <a:gdLst/>
                            <a:ahLst/>
                            <a:cxnLst/>
                            <a:rect l="l" t="t" r="r" b="b"/>
                            <a:pathLst>
                              <a:path w="6068060">
                                <a:moveTo>
                                  <a:pt x="0" y="0"/>
                                </a:moveTo>
                                <a:lnTo>
                                  <a:pt x="6068059" y="0"/>
                                </a:lnTo>
                              </a:path>
                            </a:pathLst>
                          </a:custGeom>
                          <a:noFill/>
                          <a:ln w="28575">
                            <a:solidFill>
                              <a:srgbClr val="000000"/>
                            </a:solidFill>
                            <a:prstDash val="solid"/>
                          </a:ln>
                          <a:effectLst/>
                        </wps:spPr>
                        <wps:bodyPr wrap="square" lIns="0" tIns="0" rIns="0" bIns="0" rtlCol="0">
                          <a:noAutofit/>
                        </wps:bodyPr>
                      </wps:wsp>
                    </wpg:wgp>
                  </a:graphicData>
                </a:graphic>
              </wp:anchor>
            </w:drawing>
          </mc:Choice>
          <mc:Fallback>
            <w:pict>
              <v:group id="Group 137" o:spid="_x0000_s1026" o:spt="203" style="position:absolute;left:0pt;margin-left:70.95pt;margin-top:6.25pt;height:6pt;width:491.55pt;mso-position-horizontal-relative:page;mso-wrap-distance-bottom:0pt;mso-wrap-distance-top:0pt;z-index:-251654144;mso-width-relative:page;mso-height-relative:page;" coordsize="6068060,57150" o:gfxdata="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">
                <o:lock v:ext="edit" aspectratio="f"/>
                <v:shape id="Graphic 138" o:spid="_x0000_s1026" o:spt="100" style="position:absolute;left:0;top:50006;height:1270;width:6068060;" filled="f" stroked="t" coordsize="6068060,1" o:gfxdata="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JHqNS/&#10;AAAA3AAAAA8AAAAAAAAAAQAgAAAAIgAAAGRycy9kb3ducmV2LnhtbFBLAQIUABQAAAAIAIdO4kAz&#10;LwWeOwAAADkAAAAQAAAAAAAAAAEAIAAAAA4BAABkcnMvc2hhcGV4bWwueG1sUEsFBgAAAAAGAAYA&#10;WwEAALgDAAAAAA==&#10;" path="m0,0l6068059,0e">
                  <v:fill on="f" focussize="0,0"/>
                  <v:stroke weight="1.12496062992126pt" color="#000000" joinstyle="round"/>
                  <v:imagedata o:title=""/>
                  <o:lock v:ext="edit" aspectratio="f"/>
                  <v:textbox inset="0mm,0mm,0mm,0mm"/>
                </v:shape>
                <v:shape id="Graphic 139" o:spid="_x0000_s1026" o:spt="100" style="position:absolute;left:0;top:14287;height:1270;width:6068060;" filled="f" stroked="t" coordsize="6068060,1" o:gfxdata="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cAw3vQAA&#10;ANwAAAAPAAAAAAAAAAEAIAAAACIAAABkcnMvZG93bnJldi54bWxQSwECFAAUAAAACACHTuJAMy8F&#10;njsAAAA5AAAAEAAAAAAAAAABACAAAAAMAQAAZHJzL3NoYXBleG1sLnhtbFBLBQYAAAAABgAGAFsB&#10;AAC2AwAAAAA=&#10;" path="m0,0l6068059,0e">
                  <v:fill on="f" focussize="0,0"/>
                  <v:stroke weight="2.25pt" color="#000000" joinstyle="round"/>
                  <v:imagedata o:title=""/>
                  <o:lock v:ext="edit" aspectratio="f"/>
                  <v:textbox inset="0mm,0mm,0mm,0mm"/>
                </v:shape>
                <w10:wrap type="topAndBottom"/>
              </v:group>
            </w:pict>
          </mc:Fallback>
        </mc:AlternateContent>
      </w:r>
      <w:r>
        <w:rPr>
          <w:rFonts w:hint="default"/>
          <w:lang w:val="pt-BR"/>
        </w:rPr>
        <w:t xml:space="preserve">23.1. </w:t>
      </w:r>
      <w:r>
        <w:rPr>
          <w:rFonts w:hint="default"/>
          <w:sz w:val="24"/>
          <w:lang w:val="pt-BR"/>
        </w:rPr>
        <w:t xml:space="preserve"> A contratada deverá c</w:t>
      </w:r>
      <w:r>
        <w:t>umprir, durante todo o período de execução do contrato, a reserva 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Style w:val="15"/>
        </w:rPr>
        <w:t>art. 116, da Lei n.º 14.133, de 2021</w:t>
      </w:r>
      <w:r>
        <w:rPr>
          <w:rStyle w:val="15"/>
        </w:rPr>
        <w:fldChar w:fldCharType="end"/>
      </w:r>
      <w:r>
        <w:t>)</w:t>
      </w:r>
      <w:r>
        <w:rPr>
          <w:rFonts w:hint="default"/>
          <w:lang w:val="pt-BR"/>
        </w:rPr>
        <w:t>.</w:t>
      </w:r>
    </w:p>
    <w:p w14:paraId="44A68D48">
      <w:pPr>
        <w:pStyle w:val="41"/>
        <w:keepNext w:val="0"/>
        <w:keepLines w:val="0"/>
        <w:pageBreakBefore w:val="0"/>
        <w:numPr>
          <w:ilvl w:val="0"/>
          <w:numId w:val="0"/>
        </w:numPr>
        <w:tabs>
          <w:tab w:val="left" w:pos="993"/>
        </w:tabs>
        <w:kinsoku/>
        <w:wordWrap/>
        <w:overflowPunct/>
        <w:topLinePunct w:val="0"/>
        <w:autoSpaceDE w:val="0"/>
        <w:autoSpaceDN w:val="0"/>
        <w:bidi w:val="0"/>
        <w:adjustRightInd/>
        <w:snapToGrid/>
        <w:spacing w:before="120" w:after="0" w:line="23" w:lineRule="atLeast"/>
        <w:ind w:left="143" w:leftChars="0" w:right="0" w:rightChars="0"/>
        <w:jc w:val="both"/>
        <w:textAlignment w:val="auto"/>
        <w:rPr>
          <w:rFonts w:hint="default"/>
          <w:lang w:val="pt-BR"/>
        </w:rPr>
      </w:pPr>
    </w:p>
    <w:p w14:paraId="27A36474">
      <w:pPr>
        <w:pStyle w:val="41"/>
        <w:keepNext w:val="0"/>
        <w:keepLines w:val="0"/>
        <w:pageBreakBefore w:val="0"/>
        <w:numPr>
          <w:ilvl w:val="0"/>
          <w:numId w:val="0"/>
        </w:numPr>
        <w:tabs>
          <w:tab w:val="left" w:pos="993"/>
        </w:tabs>
        <w:kinsoku/>
        <w:wordWrap/>
        <w:overflowPunct/>
        <w:topLinePunct w:val="0"/>
        <w:autoSpaceDE w:val="0"/>
        <w:autoSpaceDN w:val="0"/>
        <w:bidi w:val="0"/>
        <w:adjustRightInd/>
        <w:snapToGrid/>
        <w:spacing w:before="120" w:after="0" w:line="23" w:lineRule="atLeast"/>
        <w:ind w:left="143" w:leftChars="0" w:right="0" w:rightChars="0"/>
        <w:jc w:val="both"/>
        <w:textAlignment w:val="auto"/>
        <w:rPr>
          <w:rFonts w:hint="default"/>
          <w:b/>
          <w:bCs/>
          <w:lang w:val="pt-BR"/>
        </w:rPr>
      </w:pPr>
      <w:r>
        <w:rPr>
          <w:rFonts w:hint="default"/>
          <w:b/>
          <w:bCs/>
          <w:lang w:val="pt-BR"/>
        </w:rPr>
        <w:t>CLAÚSULA DE 24ª: FRAUDE E CORRUPÇÃO</w:t>
      </w:r>
    </w:p>
    <w:p w14:paraId="096D8D73">
      <w:pPr>
        <w:pStyle w:val="41"/>
        <w:keepNext w:val="0"/>
        <w:keepLines w:val="0"/>
        <w:pageBreakBefore w:val="0"/>
        <w:numPr>
          <w:ilvl w:val="0"/>
          <w:numId w:val="0"/>
        </w:numPr>
        <w:tabs>
          <w:tab w:val="left" w:pos="993"/>
        </w:tabs>
        <w:kinsoku/>
        <w:wordWrap/>
        <w:overflowPunct/>
        <w:topLinePunct w:val="0"/>
        <w:autoSpaceDE w:val="0"/>
        <w:autoSpaceDN w:val="0"/>
        <w:bidi w:val="0"/>
        <w:adjustRightInd/>
        <w:snapToGrid/>
        <w:spacing w:before="120" w:after="0" w:line="23" w:lineRule="atLeast"/>
        <w:ind w:left="3" w:leftChars="0" w:right="0" w:rightChars="0" w:hanging="3" w:firstLineChars="0"/>
        <w:jc w:val="both"/>
        <w:textAlignment w:val="auto"/>
        <w:rPr>
          <w:rFonts w:hint="default" w:ascii="Arial" w:hAnsi="Arial" w:cs="Arial"/>
          <w:b w:val="0"/>
          <w:caps w:val="0"/>
          <w:smallCaps w:val="0"/>
          <w:strike w:val="0"/>
          <w:dstrike w:val="0"/>
          <w:color w:val="000000"/>
          <w:sz w:val="24"/>
          <w:szCs w:val="24"/>
          <w:u w:val="none"/>
          <w:shd w:val="clear" w:fill="auto"/>
          <w:lang w:val="pt-BR"/>
        </w:rPr>
      </w:pPr>
      <w:r>
        <w:rPr>
          <w:rFonts w:hint="default" w:ascii="Arial" w:hAnsi="Arial" w:cs="Arial"/>
          <w:sz w:val="24"/>
          <w:szCs w:val="24"/>
        </w:rPr>
        <mc:AlternateContent>
          <mc:Choice Requires="wpg">
            <w:drawing>
              <wp:anchor distT="0" distB="0" distL="114300" distR="114300" simplePos="0" relativeHeight="251663360" behindDoc="1" locked="0" layoutInCell="1" allowOverlap="1">
                <wp:simplePos x="0" y="0"/>
                <wp:positionH relativeFrom="page">
                  <wp:posOffset>877570</wp:posOffset>
                </wp:positionH>
                <wp:positionV relativeFrom="paragraph">
                  <wp:posOffset>24130</wp:posOffset>
                </wp:positionV>
                <wp:extent cx="6274435" cy="76200"/>
                <wp:effectExtent l="0" t="0" r="12065" b="4445"/>
                <wp:wrapTopAndBottom/>
                <wp:docPr id="150" name="Group 137"/>
                <wp:cNvGraphicFramePr/>
                <a:graphic xmlns:a="http://schemas.openxmlformats.org/drawingml/2006/main">
                  <a:graphicData uri="http://schemas.microsoft.com/office/word/2010/wordprocessingGroup">
                    <wpg:wgp>
                      <wpg:cNvGrpSpPr/>
                      <wpg:grpSpPr>
                        <a:xfrm>
                          <a:off x="0" y="0"/>
                          <a:ext cx="6274435" cy="76200"/>
                          <a:chOff x="0" y="0"/>
                          <a:chExt cx="6068060" cy="57150"/>
                        </a:xfrm>
                        <a:effectLst/>
                      </wpg:grpSpPr>
                      <wps:wsp>
                        <wps:cNvPr id="151" name="Graphic 138"/>
                        <wps:cNvSpPr/>
                        <wps:spPr>
                          <a:xfrm>
                            <a:off x="0" y="50006"/>
                            <a:ext cx="6068060" cy="1270"/>
                          </a:xfrm>
                          <a:custGeom>
                            <a:avLst/>
                            <a:gdLst/>
                            <a:ahLst/>
                            <a:cxnLst/>
                            <a:rect l="l" t="t" r="r" b="b"/>
                            <a:pathLst>
                              <a:path w="6068060">
                                <a:moveTo>
                                  <a:pt x="0" y="0"/>
                                </a:moveTo>
                                <a:lnTo>
                                  <a:pt x="6068059" y="0"/>
                                </a:lnTo>
                              </a:path>
                            </a:pathLst>
                          </a:custGeom>
                          <a:noFill/>
                          <a:ln w="14287">
                            <a:solidFill>
                              <a:srgbClr val="000000"/>
                            </a:solidFill>
                            <a:prstDash val="solid"/>
                          </a:ln>
                          <a:effectLst/>
                        </wps:spPr>
                        <wps:bodyPr wrap="square" lIns="0" tIns="0" rIns="0" bIns="0" rtlCol="0">
                          <a:noAutofit/>
                        </wps:bodyPr>
                      </wps:wsp>
                      <wps:wsp>
                        <wps:cNvPr id="152" name="Graphic 139"/>
                        <wps:cNvSpPr/>
                        <wps:spPr>
                          <a:xfrm>
                            <a:off x="0" y="14287"/>
                            <a:ext cx="6068060" cy="1270"/>
                          </a:xfrm>
                          <a:custGeom>
                            <a:avLst/>
                            <a:gdLst/>
                            <a:ahLst/>
                            <a:cxnLst/>
                            <a:rect l="l" t="t" r="r" b="b"/>
                            <a:pathLst>
                              <a:path w="6068060">
                                <a:moveTo>
                                  <a:pt x="0" y="0"/>
                                </a:moveTo>
                                <a:lnTo>
                                  <a:pt x="6068059" y="0"/>
                                </a:lnTo>
                              </a:path>
                            </a:pathLst>
                          </a:custGeom>
                          <a:noFill/>
                          <a:ln w="28575">
                            <a:solidFill>
                              <a:srgbClr val="000000"/>
                            </a:solidFill>
                            <a:prstDash val="solid"/>
                          </a:ln>
                          <a:effectLst/>
                        </wps:spPr>
                        <wps:bodyPr wrap="square" lIns="0" tIns="0" rIns="0" bIns="0" rtlCol="0">
                          <a:noAutofit/>
                        </wps:bodyPr>
                      </wps:wsp>
                    </wpg:wgp>
                  </a:graphicData>
                </a:graphic>
              </wp:anchor>
            </w:drawing>
          </mc:Choice>
          <mc:Fallback>
            <w:pict>
              <v:group id="Group 137" o:spid="_x0000_s1026" o:spt="203" style="position:absolute;left:0pt;margin-left:69.1pt;margin-top:1.9pt;height:6pt;width:494.05pt;mso-position-horizontal-relative:page;mso-wrap-distance-bottom:0pt;mso-wrap-distance-top:0pt;z-index:-251653120;mso-width-relative:page;mso-height-relative:page;" coordsize="6068060,57150" o:gfxdata="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">
                <o:lock v:ext="edit" aspectratio="f"/>
                <v:shape id="Graphic 138" o:spid="_x0000_s1026" o:spt="100" style="position:absolute;left:0;top:50006;height:1270;width:6068060;" filled="f" stroked="t" coordsize="6068060,1" o:gfxdata="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pJeUvQAA&#10;ANwAAAAPAAAAAAAAAAEAIAAAACIAAABkcnMvZG93bnJldi54bWxQSwECFAAUAAAACACHTuJAMy8F&#10;njsAAAA5AAAAEAAAAAAAAAABACAAAAAMAQAAZHJzL3NoYXBleG1sLnhtbFBLBQYAAAAABgAGAFsB&#10;AAC2AwAAAAA=&#10;" path="m0,0l6068059,0e">
                  <v:fill on="f" focussize="0,0"/>
                  <v:stroke weight="1.12496062992126pt" color="#000000" joinstyle="round"/>
                  <v:imagedata o:title=""/>
                  <o:lock v:ext="edit" aspectratio="f"/>
                  <v:textbox inset="0mm,0mm,0mm,0mm"/>
                </v:shape>
                <v:shape id="Graphic 139" o:spid="_x0000_s1026" o:spt="100" style="position:absolute;left:0;top:14287;height:1270;width:6068060;" filled="f" stroked="t" coordsize="6068060,1" o:gfxdata="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A0Im7sAAADc&#10;AAAADwAAAAAAAAABACAAAAAiAAAAZHJzL2Rvd25yZXYueG1sUEsBAhQAFAAAAAgAh07iQDMvBZ47&#10;AAAAOQAAABAAAAAAAAAAAQAgAAAACgEAAGRycy9zaGFwZXhtbC54bWxQSwUGAAAAAAYABgBbAQAA&#10;tAMAAAAA&#10;" path="m0,0l6068059,0e">
                  <v:fill on="f" focussize="0,0"/>
                  <v:stroke weight="2.25pt" color="#000000" joinstyle="round"/>
                  <v:imagedata o:title=""/>
                  <o:lock v:ext="edit" aspectratio="f"/>
                  <v:textbox inset="0mm,0mm,0mm,0mm"/>
                </v:shape>
                <w10:wrap type="topAndBottom"/>
              </v:group>
            </w:pict>
          </mc:Fallback>
        </mc:AlternateContent>
      </w:r>
      <w:r>
        <w:rPr>
          <w:rFonts w:hint="default" w:ascii="Arial" w:hAnsi="Arial" w:cs="Arial"/>
          <w:b w:val="0"/>
          <w:bCs w:val="0"/>
          <w:sz w:val="24"/>
          <w:szCs w:val="24"/>
          <w:lang w:val="pt-BR"/>
        </w:rPr>
        <w:t>2</w:t>
      </w:r>
      <w:r>
        <w:rPr>
          <w:rFonts w:hint="default" w:cs="Arial"/>
          <w:b w:val="0"/>
          <w:bCs w:val="0"/>
          <w:sz w:val="24"/>
          <w:szCs w:val="24"/>
          <w:lang w:val="pt-BR"/>
        </w:rPr>
        <w:t>4</w:t>
      </w:r>
      <w:r>
        <w:rPr>
          <w:rFonts w:hint="default" w:ascii="Arial" w:hAnsi="Arial" w:cs="Arial"/>
          <w:b w:val="0"/>
          <w:bCs w:val="0"/>
          <w:sz w:val="24"/>
          <w:szCs w:val="24"/>
          <w:lang w:val="pt-BR"/>
        </w:rPr>
        <w:t>.1.</w:t>
      </w:r>
      <w:r>
        <w:rPr>
          <w:rFonts w:hint="default" w:ascii="Arial" w:hAnsi="Arial" w:cs="Arial"/>
          <w:b w:val="0"/>
          <w:caps w:val="0"/>
          <w:smallCaps w:val="0"/>
          <w:strike w:val="0"/>
          <w:dstrike w:val="0"/>
          <w:color w:val="000000"/>
          <w:sz w:val="24"/>
          <w:szCs w:val="24"/>
          <w:u w:val="none"/>
          <w:shd w:val="clear" w:fill="auto"/>
        </w:rPr>
        <w:t xml:space="preserve"> </w:t>
      </w:r>
      <w:r>
        <w:rPr>
          <w:rFonts w:hint="default" w:ascii="Arial" w:hAnsi="Arial" w:cs="Arial"/>
          <w:b w:val="0"/>
          <w:caps w:val="0"/>
          <w:smallCaps w:val="0"/>
          <w:strike w:val="0"/>
          <w:dstrike w:val="0"/>
          <w:color w:val="000000"/>
          <w:sz w:val="24"/>
          <w:szCs w:val="24"/>
          <w:u w:val="none"/>
          <w:shd w:val="clear" w:fill="auto"/>
          <w:lang w:val="pt-BR"/>
        </w:rPr>
        <w:t xml:space="preserve">A contratada </w:t>
      </w:r>
      <w:r>
        <w:rPr>
          <w:rFonts w:ascii="Arial" w:hAnsi="Arial" w:eastAsia="SimSun" w:cs="Arial"/>
          <w:color w:val="000000"/>
          <w:kern w:val="0"/>
          <w:sz w:val="18"/>
          <w:szCs w:val="18"/>
          <w:lang w:val="en-US" w:eastAsia="zh-CN" w:bidi="ar"/>
        </w:rPr>
        <w:t xml:space="preserve"> </w:t>
      </w:r>
      <w:r>
        <w:rPr>
          <w:rFonts w:ascii="Arial" w:hAnsi="Arial" w:eastAsia="SimSun" w:cs="Arial"/>
          <w:color w:val="000000"/>
          <w:kern w:val="0"/>
          <w:sz w:val="24"/>
          <w:szCs w:val="24"/>
          <w:lang w:val="en-US" w:eastAsia="zh-CN" w:bidi="ar"/>
        </w:rPr>
        <w:t xml:space="preserve"> e o contratado deve observar e fazer observar, por seus fornecedores </w:t>
      </w:r>
      <w:r>
        <w:rPr>
          <w:rFonts w:hint="default" w:ascii="Arial" w:hAnsi="Arial" w:eastAsia="SimSun" w:cs="Arial"/>
          <w:color w:val="000000"/>
          <w:kern w:val="0"/>
          <w:sz w:val="24"/>
          <w:szCs w:val="24"/>
          <w:lang w:val="en-US" w:eastAsia="zh-CN" w:bidi="ar"/>
        </w:rPr>
        <w:t>e subcontratados, se admitida subcontratação, o mais alto padrão de ética durante todo o processo de licitação, de contratação e de execução do objeto contratual</w:t>
      </w:r>
      <w:r>
        <w:rPr>
          <w:rFonts w:hint="default" w:ascii="Arial" w:hAnsi="Arial" w:eastAsia="SimSun" w:cs="Arial"/>
          <w:color w:val="000000"/>
          <w:kern w:val="0"/>
          <w:sz w:val="24"/>
          <w:szCs w:val="24"/>
          <w:lang w:val="pt-BR" w:eastAsia="zh-CN" w:bidi="ar"/>
        </w:rPr>
        <w:t>.</w:t>
      </w:r>
    </w:p>
    <w:p w14:paraId="33D28D9D">
      <w:pPr>
        <w:pStyle w:val="17"/>
        <w:bidi w:val="0"/>
        <w:spacing w:before="240" w:after="240" w:line="331" w:lineRule="auto"/>
        <w:ind w:left="0" w:leftChars="0" w:right="0" w:firstLine="0" w:firstLineChars="0"/>
        <w:jc w:val="both"/>
        <w:rPr>
          <w:rFonts w:hint="default" w:ascii="Arial" w:hAnsi="Arial" w:cs="Arial"/>
          <w:b w:val="0"/>
          <w:i w:val="0"/>
          <w:caps w:val="0"/>
          <w:smallCaps w:val="0"/>
          <w:strike w:val="0"/>
          <w:dstrike w:val="0"/>
          <w:color w:val="000000"/>
          <w:sz w:val="24"/>
          <w:szCs w:val="24"/>
          <w:u w:val="none"/>
          <w:shd w:val="clear" w:fill="FFFFFF"/>
        </w:rPr>
      </w:pPr>
      <w:r>
        <w:rPr>
          <w:rFonts w:hint="default" w:ascii="Arial" w:hAnsi="Arial" w:cs="Arial"/>
          <w:b w:val="0"/>
          <w:i w:val="0"/>
          <w:caps w:val="0"/>
          <w:smallCaps w:val="0"/>
          <w:strike w:val="0"/>
          <w:dstrike w:val="0"/>
          <w:color w:val="000000"/>
          <w:sz w:val="24"/>
          <w:szCs w:val="24"/>
          <w:u w:val="none"/>
          <w:shd w:val="clear" w:fill="FFFFFF"/>
        </w:rPr>
        <w:t>2</w:t>
      </w:r>
      <w:r>
        <w:rPr>
          <w:rFonts w:hint="default" w:ascii="Arial" w:hAnsi="Arial" w:cs="Arial"/>
          <w:b w:val="0"/>
          <w:i w:val="0"/>
          <w:caps w:val="0"/>
          <w:smallCaps w:val="0"/>
          <w:strike w:val="0"/>
          <w:dstrike w:val="0"/>
          <w:color w:val="000000"/>
          <w:sz w:val="24"/>
          <w:szCs w:val="24"/>
          <w:u w:val="none"/>
          <w:shd w:val="clear" w:fill="FFFFFF"/>
          <w:lang w:val="pt-BR"/>
        </w:rPr>
        <w:t>4</w:t>
      </w:r>
      <w:r>
        <w:rPr>
          <w:rFonts w:hint="default" w:ascii="Arial" w:hAnsi="Arial" w:cs="Arial"/>
          <w:b w:val="0"/>
          <w:i w:val="0"/>
          <w:caps w:val="0"/>
          <w:smallCaps w:val="0"/>
          <w:strike w:val="0"/>
          <w:dstrike w:val="0"/>
          <w:color w:val="000000"/>
          <w:sz w:val="24"/>
          <w:szCs w:val="24"/>
          <w:u w:val="none"/>
          <w:shd w:val="clear" w:fill="FFFFFF"/>
        </w:rPr>
        <w:t xml:space="preserve">.2. </w:t>
      </w:r>
      <w:r>
        <w:rPr>
          <w:rStyle w:val="59"/>
          <w:rFonts w:hint="default" w:ascii="Arial" w:hAnsi="Arial" w:eastAsia="Segoe UI" w:cs="Arial"/>
          <w:i w:val="0"/>
          <w:iCs w:val="0"/>
          <w:caps w:val="0"/>
          <w:color w:val="000000"/>
          <w:spacing w:val="0"/>
          <w:sz w:val="24"/>
          <w:szCs w:val="24"/>
          <w:shd w:val="clear" w:fill="FFFFFF"/>
        </w:rPr>
        <w:t>Para os propósitos desta Cláusula definem</w:t>
      </w:r>
      <w:r>
        <w:rPr>
          <w:rStyle w:val="59"/>
          <w:rFonts w:hint="default" w:ascii="Arial" w:hAnsi="Arial" w:eastAsia="Segoe UI" w:cs="Arial"/>
          <w:i w:val="0"/>
          <w:iCs w:val="0"/>
          <w:caps w:val="0"/>
          <w:color w:val="000000"/>
          <w:spacing w:val="0"/>
          <w:sz w:val="24"/>
          <w:szCs w:val="24"/>
          <w:shd w:val="clear" w:fill="FFFFFF"/>
          <w:lang w:val="pt-BR"/>
        </w:rPr>
        <w:t xml:space="preserve"> </w:t>
      </w:r>
      <w:r>
        <w:rPr>
          <w:rStyle w:val="59"/>
          <w:rFonts w:hint="default" w:ascii="Arial" w:hAnsi="Arial" w:eastAsia="Segoe UI" w:cs="Arial"/>
          <w:i w:val="0"/>
          <w:iCs w:val="0"/>
          <w:caps w:val="0"/>
          <w:color w:val="000000"/>
          <w:spacing w:val="0"/>
          <w:sz w:val="24"/>
          <w:szCs w:val="24"/>
          <w:shd w:val="clear" w:fill="FFFFFF"/>
        </w:rPr>
        <w:t>se as seguintes práticas</w:t>
      </w:r>
      <w:r>
        <w:rPr>
          <w:rStyle w:val="59"/>
          <w:rFonts w:hint="default" w:ascii="Arial" w:hAnsi="Arial" w:eastAsia="Segoe UI" w:cs="Arial"/>
          <w:i w:val="0"/>
          <w:iCs w:val="0"/>
          <w:caps w:val="0"/>
          <w:color w:val="000000"/>
          <w:spacing w:val="0"/>
          <w:sz w:val="24"/>
          <w:szCs w:val="24"/>
          <w:shd w:val="clear" w:fill="FFFFFF"/>
          <w:lang w:val="pt-BR"/>
        </w:rPr>
        <w:t>:</w:t>
      </w:r>
    </w:p>
    <w:p w14:paraId="38234C9B">
      <w:pPr>
        <w:pStyle w:val="17"/>
        <w:numPr>
          <w:ilvl w:val="0"/>
          <w:numId w:val="21"/>
        </w:numPr>
        <w:tabs>
          <w:tab w:val="left" w:pos="0"/>
          <w:tab w:val="clear" w:pos="420"/>
        </w:tabs>
        <w:bidi w:val="0"/>
        <w:spacing w:before="240" w:after="0" w:line="331" w:lineRule="auto"/>
        <w:ind w:left="0" w:leftChars="0" w:right="0" w:rightChars="0" w:firstLine="0" w:firstLineChars="0"/>
        <w:jc w:val="both"/>
        <w:rPr>
          <w:rFonts w:hint="default" w:ascii="Arial" w:hAnsi="Arial" w:cs="Arial"/>
          <w:b w:val="0"/>
          <w:i w:val="0"/>
          <w:caps w:val="0"/>
          <w:smallCaps w:val="0"/>
          <w:strike w:val="0"/>
          <w:dstrike w:val="0"/>
          <w:color w:val="000000"/>
          <w:sz w:val="24"/>
          <w:szCs w:val="24"/>
          <w:u w:val="none"/>
          <w:shd w:val="clear" w:fill="FFFFFF"/>
        </w:rPr>
      </w:pPr>
      <w:r>
        <w:rPr>
          <w:rFonts w:hint="default" w:ascii="Arial" w:hAnsi="Arial" w:cs="Arial"/>
          <w:b w:val="0"/>
          <w:i w:val="0"/>
          <w:caps w:val="0"/>
          <w:smallCaps w:val="0"/>
          <w:strike w:val="0"/>
          <w:dstrike w:val="0"/>
          <w:color w:val="000000"/>
          <w:sz w:val="24"/>
          <w:szCs w:val="24"/>
          <w:u w:val="single"/>
          <w:shd w:val="clear" w:fill="FFFFFF"/>
        </w:rPr>
        <w:t>Prática corrupta:</w:t>
      </w:r>
      <w:r>
        <w:rPr>
          <w:rFonts w:hint="default" w:ascii="Arial" w:hAnsi="Arial" w:cs="Arial"/>
          <w:b w:val="0"/>
          <w:i w:val="0"/>
          <w:caps w:val="0"/>
          <w:smallCaps w:val="0"/>
          <w:strike w:val="0"/>
          <w:dstrike w:val="0"/>
          <w:color w:val="000000"/>
          <w:sz w:val="24"/>
          <w:szCs w:val="24"/>
          <w:u w:val="none"/>
          <w:shd w:val="clear" w:fill="FFFFFF"/>
        </w:rPr>
        <w:t xml:space="preserve"> oferecer, </w:t>
      </w:r>
      <w:r>
        <w:rPr>
          <w:rFonts w:ascii="Arial" w:hAnsi="Arial" w:eastAsia="SimSun" w:cs="Arial"/>
          <w:color w:val="000000"/>
          <w:kern w:val="0"/>
          <w:sz w:val="18"/>
          <w:szCs w:val="18"/>
          <w:lang w:val="en-US" w:eastAsia="zh-CN" w:bidi="ar"/>
        </w:rPr>
        <w:t xml:space="preserve"> </w:t>
      </w:r>
      <w:r>
        <w:rPr>
          <w:rFonts w:ascii="Arial" w:hAnsi="Arial" w:eastAsia="SimSun" w:cs="Arial"/>
          <w:color w:val="000000"/>
          <w:kern w:val="0"/>
          <w:sz w:val="24"/>
          <w:szCs w:val="24"/>
          <w:lang w:val="en-US" w:eastAsia="zh-CN" w:bidi="ar"/>
        </w:rPr>
        <w:t xml:space="preserve">dar, receber ou solicitar, direta ou indiretamente, qualquer vantagem com </w:t>
      </w:r>
      <w:r>
        <w:rPr>
          <w:rFonts w:hint="default" w:ascii="Arial" w:hAnsi="Arial" w:eastAsia="SimSun" w:cs="Arial"/>
          <w:color w:val="000000"/>
          <w:kern w:val="0"/>
          <w:sz w:val="24"/>
          <w:szCs w:val="24"/>
          <w:lang w:val="en-US" w:eastAsia="zh-CN" w:bidi="ar"/>
        </w:rPr>
        <w:t xml:space="preserve">o objetivo de influenciar a ação de servidor público no processo de licitação ou na execução </w:t>
      </w:r>
      <w:r>
        <w:rPr>
          <w:rFonts w:hint="default" w:ascii="Arial" w:hAnsi="Arial" w:eastAsia="SimSun" w:cs="Arial"/>
          <w:color w:val="000000"/>
          <w:kern w:val="0"/>
          <w:sz w:val="24"/>
          <w:szCs w:val="24"/>
          <w:lang w:val="pt-BR" w:eastAsia="zh-CN" w:bidi="ar"/>
        </w:rPr>
        <w:t>contratual</w:t>
      </w:r>
      <w:r>
        <w:rPr>
          <w:rFonts w:hint="default" w:ascii="Arial" w:hAnsi="Arial" w:eastAsia="SimSun" w:cs="Arial"/>
          <w:color w:val="000000"/>
          <w:kern w:val="0"/>
          <w:sz w:val="24"/>
          <w:szCs w:val="24"/>
          <w:lang w:val="en-US" w:eastAsia="zh-CN" w:bidi="ar"/>
        </w:rPr>
        <w:t>;</w:t>
      </w:r>
    </w:p>
    <w:p w14:paraId="3C708C37">
      <w:pPr>
        <w:pStyle w:val="17"/>
        <w:numPr>
          <w:ilvl w:val="0"/>
          <w:numId w:val="21"/>
        </w:numPr>
        <w:tabs>
          <w:tab w:val="left" w:pos="0"/>
          <w:tab w:val="clear" w:pos="420"/>
        </w:tabs>
        <w:bidi w:val="0"/>
        <w:spacing w:before="0" w:after="0" w:line="331" w:lineRule="auto"/>
        <w:ind w:left="0" w:leftChars="0" w:right="0" w:rightChars="0" w:firstLine="0" w:firstLineChars="0"/>
        <w:jc w:val="both"/>
        <w:rPr>
          <w:sz w:val="24"/>
          <w:szCs w:val="24"/>
        </w:rPr>
      </w:pPr>
      <w:r>
        <w:rPr>
          <w:rFonts w:hint="default" w:ascii="Arial" w:hAnsi="Arial" w:cs="Arial"/>
          <w:b w:val="0"/>
          <w:i w:val="0"/>
          <w:caps w:val="0"/>
          <w:smallCaps w:val="0"/>
          <w:strike w:val="0"/>
          <w:dstrike w:val="0"/>
          <w:color w:val="000000"/>
          <w:sz w:val="24"/>
          <w:szCs w:val="24"/>
          <w:u w:val="single"/>
          <w:shd w:val="clear" w:fill="FFFFFF"/>
        </w:rPr>
        <w:t>Prática fraudulenta:</w:t>
      </w:r>
      <w:r>
        <w:rPr>
          <w:rFonts w:hint="default" w:ascii="Arial" w:hAnsi="Arial" w:cs="Arial"/>
          <w:b w:val="0"/>
          <w:i w:val="0"/>
          <w:caps w:val="0"/>
          <w:smallCaps w:val="0"/>
          <w:strike w:val="0"/>
          <w:dstrike w:val="0"/>
          <w:color w:val="000000"/>
          <w:sz w:val="24"/>
          <w:szCs w:val="24"/>
          <w:u w:val="none"/>
          <w:shd w:val="clear" w:fill="FFFFFF"/>
        </w:rPr>
        <w:t xml:space="preserve"> a falsificação </w:t>
      </w:r>
      <w:r>
        <w:rPr>
          <w:rFonts w:ascii="Arial" w:hAnsi="Arial" w:eastAsia="SimSun" w:cs="Arial"/>
          <w:color w:val="000000"/>
          <w:kern w:val="0"/>
          <w:sz w:val="24"/>
          <w:szCs w:val="24"/>
          <w:lang w:val="en-US" w:eastAsia="zh-CN" w:bidi="ar"/>
        </w:rPr>
        <w:t xml:space="preserve">ou omissão dos fatos, com o objetivo de influenciar o processo de </w:t>
      </w:r>
      <w:r>
        <w:rPr>
          <w:rFonts w:hint="default" w:ascii="Arial" w:hAnsi="Arial" w:eastAsia="SimSun" w:cs="Arial"/>
          <w:color w:val="000000"/>
          <w:kern w:val="0"/>
          <w:sz w:val="24"/>
          <w:szCs w:val="24"/>
          <w:lang w:val="en-US" w:eastAsia="zh-CN" w:bidi="ar"/>
        </w:rPr>
        <w:t>licitação ou de execução d</w:t>
      </w:r>
      <w:r>
        <w:rPr>
          <w:rFonts w:hint="default" w:ascii="Arial" w:hAnsi="Arial" w:eastAsia="SimSun" w:cs="Arial"/>
          <w:color w:val="000000"/>
          <w:kern w:val="0"/>
          <w:sz w:val="24"/>
          <w:szCs w:val="24"/>
          <w:lang w:val="pt-BR" w:eastAsia="zh-CN" w:bidi="ar"/>
        </w:rPr>
        <w:t>o contrato;</w:t>
      </w:r>
    </w:p>
    <w:p w14:paraId="2AE2CE39">
      <w:pPr>
        <w:pStyle w:val="17"/>
        <w:numPr>
          <w:ilvl w:val="0"/>
          <w:numId w:val="21"/>
        </w:numPr>
        <w:tabs>
          <w:tab w:val="left" w:pos="0"/>
          <w:tab w:val="clear" w:pos="420"/>
        </w:tabs>
        <w:bidi w:val="0"/>
        <w:spacing w:before="0" w:after="0" w:line="331" w:lineRule="auto"/>
        <w:ind w:left="0" w:leftChars="0" w:right="0" w:rightChars="0" w:firstLine="0" w:firstLineChars="0"/>
        <w:jc w:val="both"/>
        <w:rPr>
          <w:sz w:val="24"/>
          <w:szCs w:val="24"/>
        </w:rPr>
      </w:pPr>
      <w:r>
        <w:rPr>
          <w:rFonts w:hint="default" w:ascii="Arial" w:hAnsi="Arial" w:cs="Arial"/>
          <w:b w:val="0"/>
          <w:i w:val="0"/>
          <w:caps w:val="0"/>
          <w:smallCaps w:val="0"/>
          <w:strike w:val="0"/>
          <w:dstrike w:val="0"/>
          <w:color w:val="000000"/>
          <w:sz w:val="24"/>
          <w:szCs w:val="24"/>
          <w:u w:val="single"/>
          <w:shd w:val="clear" w:fill="FFFFFF"/>
        </w:rPr>
        <w:t>Prática colusiva:</w:t>
      </w:r>
      <w:r>
        <w:rPr>
          <w:rFonts w:hint="default" w:ascii="Arial" w:hAnsi="Arial" w:cs="Arial"/>
          <w:b w:val="0"/>
          <w:i w:val="0"/>
          <w:caps w:val="0"/>
          <w:smallCaps w:val="0"/>
          <w:strike w:val="0"/>
          <w:dstrike w:val="0"/>
          <w:color w:val="000000"/>
          <w:sz w:val="24"/>
          <w:szCs w:val="24"/>
          <w:u w:val="none"/>
          <w:shd w:val="clear" w:fill="FFFFFF"/>
        </w:rPr>
        <w:t xml:space="preserve"> esquematizar </w:t>
      </w:r>
      <w:r>
        <w:rPr>
          <w:rFonts w:ascii="Arial" w:hAnsi="Arial" w:eastAsia="SimSun" w:cs="Arial"/>
          <w:color w:val="000000"/>
          <w:kern w:val="0"/>
          <w:sz w:val="24"/>
          <w:szCs w:val="24"/>
          <w:lang w:val="en-US" w:eastAsia="zh-CN" w:bidi="ar"/>
        </w:rPr>
        <w:t xml:space="preserve"> ou estabelecer um acordo entre dois ou mais licitantes, com ou sem o </w:t>
      </w:r>
      <w:r>
        <w:rPr>
          <w:rFonts w:hint="default" w:ascii="Arial" w:hAnsi="Arial" w:eastAsia="SimSun" w:cs="Arial"/>
          <w:color w:val="000000"/>
          <w:kern w:val="0"/>
          <w:sz w:val="24"/>
          <w:szCs w:val="24"/>
          <w:lang w:val="en-US" w:eastAsia="zh-CN" w:bidi="ar"/>
        </w:rPr>
        <w:t>conhecimento de representantes ou prepostos do órgão licitador, visando estabelecer preços em níveis artificiais e não-competitivos</w:t>
      </w:r>
      <w:r>
        <w:rPr>
          <w:rFonts w:hint="default" w:ascii="Arial" w:hAnsi="Arial" w:eastAsia="SimSun" w:cs="Arial"/>
          <w:color w:val="000000"/>
          <w:kern w:val="0"/>
          <w:sz w:val="24"/>
          <w:szCs w:val="24"/>
          <w:lang w:val="pt-BR" w:eastAsia="zh-CN" w:bidi="ar"/>
        </w:rPr>
        <w:t>;</w:t>
      </w:r>
    </w:p>
    <w:p w14:paraId="1A267772">
      <w:pPr>
        <w:pStyle w:val="17"/>
        <w:numPr>
          <w:ilvl w:val="0"/>
          <w:numId w:val="21"/>
        </w:numPr>
        <w:tabs>
          <w:tab w:val="left" w:pos="0"/>
          <w:tab w:val="clear" w:pos="420"/>
        </w:tabs>
        <w:bidi w:val="0"/>
        <w:spacing w:before="0" w:after="0" w:line="331" w:lineRule="auto"/>
        <w:ind w:left="0" w:leftChars="0" w:right="0" w:rightChars="0" w:firstLine="0" w:firstLineChars="0"/>
        <w:jc w:val="both"/>
        <w:rPr>
          <w:sz w:val="24"/>
          <w:szCs w:val="24"/>
        </w:rPr>
      </w:pPr>
      <w:r>
        <w:rPr>
          <w:rFonts w:hint="default" w:ascii="Arial" w:hAnsi="Arial" w:cs="Arial"/>
          <w:b w:val="0"/>
          <w:i w:val="0"/>
          <w:caps w:val="0"/>
          <w:smallCaps w:val="0"/>
          <w:strike w:val="0"/>
          <w:dstrike w:val="0"/>
          <w:color w:val="000000"/>
          <w:sz w:val="24"/>
          <w:szCs w:val="24"/>
          <w:u w:val="single"/>
          <w:shd w:val="clear" w:fill="FFFFFF"/>
        </w:rPr>
        <w:t>Prática coercitiva:</w:t>
      </w:r>
      <w:r>
        <w:rPr>
          <w:rFonts w:hint="default" w:ascii="Arial" w:hAnsi="Arial" w:cs="Arial"/>
          <w:b w:val="0"/>
          <w:i w:val="0"/>
          <w:caps w:val="0"/>
          <w:smallCaps w:val="0"/>
          <w:strike w:val="0"/>
          <w:dstrike w:val="0"/>
          <w:color w:val="000000"/>
          <w:sz w:val="24"/>
          <w:szCs w:val="24"/>
          <w:u w:val="none"/>
          <w:shd w:val="clear" w:fill="FFFFFF"/>
        </w:rPr>
        <w:t xml:space="preserve"> causar dano </w:t>
      </w:r>
      <w:r>
        <w:rPr>
          <w:rFonts w:ascii="Arial" w:hAnsi="Arial" w:eastAsia="SimSun" w:cs="Arial"/>
          <w:color w:val="000000"/>
          <w:kern w:val="0"/>
          <w:sz w:val="24"/>
          <w:szCs w:val="24"/>
          <w:lang w:val="en-US" w:eastAsia="zh-CN" w:bidi="ar"/>
        </w:rPr>
        <w:t xml:space="preserve"> ou ameaçar causar dano, direta ou indiretamente, às pessoas ou sua </w:t>
      </w:r>
      <w:r>
        <w:rPr>
          <w:rFonts w:hint="default" w:ascii="Arial" w:hAnsi="Arial" w:eastAsia="SimSun" w:cs="Arial"/>
          <w:color w:val="000000"/>
          <w:kern w:val="0"/>
          <w:sz w:val="24"/>
          <w:szCs w:val="24"/>
          <w:lang w:val="en-US" w:eastAsia="zh-CN" w:bidi="ar"/>
        </w:rPr>
        <w:t>propriedade, visando influenciar</w:t>
      </w:r>
      <w:r>
        <w:rPr>
          <w:rFonts w:hint="default" w:ascii="Arial" w:hAnsi="Arial" w:eastAsia="SimSun" w:cs="Arial"/>
          <w:color w:val="000000"/>
          <w:kern w:val="0"/>
          <w:sz w:val="24"/>
          <w:szCs w:val="24"/>
          <w:lang w:val="pt-BR" w:eastAsia="zh-CN" w:bidi="ar"/>
        </w:rPr>
        <w:t xml:space="preserve"> </w:t>
      </w:r>
      <w:r>
        <w:rPr>
          <w:rFonts w:ascii="Arial" w:hAnsi="Arial" w:cs="Arial"/>
          <w:color w:val="000000"/>
          <w:sz w:val="24"/>
          <w:szCs w:val="24"/>
          <w:lang w:val="pt-BR"/>
        </w:rPr>
        <w:t>sua participação em um processo licitatório ou afetar a execução do contrato</w:t>
      </w:r>
      <w:r>
        <w:rPr>
          <w:rFonts w:hint="default" w:ascii="Arial" w:hAnsi="Arial" w:cs="Arial"/>
          <w:color w:val="000000"/>
          <w:sz w:val="24"/>
          <w:szCs w:val="24"/>
          <w:lang w:val="pt-BR"/>
        </w:rPr>
        <w:t xml:space="preserve"> .</w:t>
      </w:r>
    </w:p>
    <w:p w14:paraId="0662D65D">
      <w:pPr>
        <w:pStyle w:val="41"/>
        <w:keepNext/>
        <w:numPr>
          <w:ilvl w:val="0"/>
          <w:numId w:val="0"/>
        </w:numPr>
        <w:pBdr>
          <w:bottom w:val="thinThickMediumGap" w:color="000000" w:sz="18" w:space="1"/>
        </w:pBdr>
        <w:tabs>
          <w:tab w:val="left" w:pos="2127"/>
        </w:tabs>
        <w:spacing w:before="360" w:after="0" w:line="264" w:lineRule="auto"/>
        <w:ind w:leftChars="0"/>
        <w:contextualSpacing w:val="0"/>
        <w:jc w:val="both"/>
        <w:rPr>
          <w:rFonts w:cs="Arial"/>
          <w:b/>
          <w:bCs/>
        </w:rPr>
      </w:pPr>
      <w:r>
        <w:rPr>
          <w:rFonts w:hint="default" w:cs="Arial"/>
          <w:b/>
          <w:bCs/>
          <w:lang w:val="pt-BR"/>
        </w:rPr>
        <w:t xml:space="preserve">CLÁUSULA 25ª: </w:t>
      </w:r>
      <w:r>
        <w:rPr>
          <w:rFonts w:cs="Arial"/>
          <w:b/>
          <w:bCs/>
        </w:rPr>
        <w:t>EXTINÇÃO DO CONTRATO</w:t>
      </w:r>
    </w:p>
    <w:p w14:paraId="791558C9">
      <w:pPr>
        <w:pStyle w:val="41"/>
        <w:numPr>
          <w:ilvl w:val="0"/>
          <w:numId w:val="0"/>
        </w:numPr>
        <w:tabs>
          <w:tab w:val="left" w:pos="851"/>
          <w:tab w:val="left" w:pos="1843"/>
        </w:tabs>
        <w:spacing w:before="120" w:after="0" w:line="264" w:lineRule="auto"/>
        <w:ind w:leftChars="0"/>
        <w:contextualSpacing w:val="0"/>
        <w:jc w:val="both"/>
        <w:rPr>
          <w:rFonts w:cs="Arial"/>
        </w:rPr>
      </w:pPr>
      <w:r>
        <w:rPr>
          <w:rFonts w:hint="default" w:cs="Arial"/>
          <w:lang w:val="pt-BR"/>
        </w:rPr>
        <w:t>25.1.</w:t>
      </w:r>
      <w:r>
        <w:rPr>
          <w:rFonts w:cs="Arial"/>
        </w:rPr>
        <w:t>A extinção do presente contrato será regulada pelas normas previstas nos arts. 137 a 139 da Lei nº 14.133/2021.</w:t>
      </w:r>
    </w:p>
    <w:p w14:paraId="6081D7E5">
      <w:pPr>
        <w:pStyle w:val="41"/>
        <w:numPr>
          <w:ilvl w:val="0"/>
          <w:numId w:val="0"/>
        </w:numPr>
        <w:tabs>
          <w:tab w:val="left" w:pos="851"/>
          <w:tab w:val="left" w:pos="1843"/>
        </w:tabs>
        <w:spacing w:before="120" w:after="0" w:line="264" w:lineRule="auto"/>
        <w:ind w:leftChars="0"/>
        <w:contextualSpacing w:val="0"/>
        <w:jc w:val="both"/>
        <w:rPr>
          <w:rFonts w:cs="Arial"/>
        </w:rPr>
      </w:pPr>
      <w:r>
        <w:rPr>
          <w:rFonts w:hint="default" w:cs="Arial"/>
          <w:lang w:val="pt-BR"/>
        </w:rPr>
        <w:t>25.2.</w:t>
      </w:r>
      <w:r>
        <w:rPr>
          <w:rFonts w:cs="Arial"/>
        </w:rPr>
        <w:t xml:space="preserve">A extinção do contrato deverá ser formalmente motivada nos autos, assegurados o contraditório e a ampla defesa. </w:t>
      </w:r>
    </w:p>
    <w:p w14:paraId="29B24390">
      <w:pPr>
        <w:pStyle w:val="41"/>
        <w:numPr>
          <w:ilvl w:val="0"/>
          <w:numId w:val="0"/>
        </w:numPr>
        <w:tabs>
          <w:tab w:val="left" w:pos="851"/>
          <w:tab w:val="left" w:pos="1843"/>
        </w:tabs>
        <w:spacing w:before="120" w:after="0" w:line="264" w:lineRule="auto"/>
        <w:ind w:leftChars="0"/>
        <w:contextualSpacing w:val="0"/>
        <w:jc w:val="both"/>
        <w:rPr>
          <w:rFonts w:cs="Arial"/>
        </w:rPr>
      </w:pPr>
      <w:r>
        <w:rPr>
          <w:rFonts w:hint="default" w:cs="Arial"/>
          <w:lang w:val="pt-BR"/>
        </w:rPr>
        <w:t>25.3.</w:t>
      </w:r>
      <w:r>
        <w:rPr>
          <w:rFonts w:cs="Arial"/>
        </w:rPr>
        <w:t>Quando a extinção decorrer de culpa exclusiva do contratante, o contratado será ressarcido dos prejuízos regularmente comprovados que houver sofrido, bem como terá direito aos pagamentos das parcelas executadas até a data da extinção do contrato.</w:t>
      </w:r>
    </w:p>
    <w:p w14:paraId="3A715181">
      <w:pPr>
        <w:pStyle w:val="41"/>
        <w:numPr>
          <w:ilvl w:val="0"/>
          <w:numId w:val="0"/>
        </w:numPr>
        <w:tabs>
          <w:tab w:val="left" w:pos="851"/>
          <w:tab w:val="left" w:pos="1843"/>
        </w:tabs>
        <w:spacing w:before="120" w:after="0" w:line="264" w:lineRule="auto"/>
        <w:ind w:leftChars="0"/>
        <w:contextualSpacing w:val="0"/>
        <w:jc w:val="both"/>
        <w:rPr>
          <w:rFonts w:cs="Arial"/>
        </w:rPr>
      </w:pPr>
      <w:r>
        <w:rPr>
          <w:rFonts w:hint="default" w:cs="Arial"/>
          <w:lang w:val="pt-BR"/>
        </w:rPr>
        <w:t xml:space="preserve">25.4. </w:t>
      </w:r>
      <w:r>
        <w:rPr>
          <w:rFonts w:cs="Arial"/>
        </w:rPr>
        <w:t xml:space="preserve">Na extinção do contrato determinada por ato unilateral, o contratante poderá reter dos créditos decorrentes do contrato até o limite dos prejuízos sofridos e das multas aplicadas, desde que já apurados em processo administrativo. </w:t>
      </w:r>
    </w:p>
    <w:p w14:paraId="32153B6F">
      <w:pPr>
        <w:pStyle w:val="41"/>
        <w:keepNext/>
        <w:numPr>
          <w:ilvl w:val="0"/>
          <w:numId w:val="0"/>
        </w:numPr>
        <w:pBdr>
          <w:bottom w:val="thinThickMediumGap" w:color="000000" w:sz="18" w:space="1"/>
        </w:pBdr>
        <w:tabs>
          <w:tab w:val="left" w:pos="2127"/>
        </w:tabs>
        <w:spacing w:before="360" w:after="0" w:line="264" w:lineRule="auto"/>
        <w:ind w:leftChars="0"/>
        <w:contextualSpacing w:val="0"/>
        <w:jc w:val="both"/>
        <w:rPr>
          <w:rFonts w:cs="Arial"/>
          <w:b/>
          <w:bCs/>
        </w:rPr>
      </w:pPr>
      <w:r>
        <w:rPr>
          <w:rFonts w:hint="default" w:cs="Arial"/>
          <w:b/>
          <w:bCs/>
          <w:lang w:val="pt-BR"/>
        </w:rPr>
        <w:t xml:space="preserve">CLÁUSULA 26ª: </w:t>
      </w:r>
      <w:r>
        <w:rPr>
          <w:rFonts w:cs="Arial"/>
          <w:b/>
          <w:bCs/>
        </w:rPr>
        <w:t xml:space="preserve">FORO </w:t>
      </w:r>
    </w:p>
    <w:p w14:paraId="0687AED4">
      <w:pPr>
        <w:pStyle w:val="41"/>
        <w:numPr>
          <w:ilvl w:val="0"/>
          <w:numId w:val="0"/>
        </w:numPr>
        <w:tabs>
          <w:tab w:val="left" w:pos="851"/>
          <w:tab w:val="left" w:pos="1843"/>
        </w:tabs>
        <w:spacing w:before="120" w:after="0" w:line="264" w:lineRule="auto"/>
        <w:ind w:leftChars="0"/>
        <w:contextualSpacing w:val="0"/>
        <w:jc w:val="both"/>
        <w:rPr>
          <w:rFonts w:cs="Arial"/>
        </w:rPr>
      </w:pPr>
      <w:r>
        <w:rPr>
          <w:rFonts w:hint="default" w:cs="Arial"/>
          <w:lang w:val="pt-BR"/>
        </w:rPr>
        <w:t>26.1.</w:t>
      </w:r>
      <w:r>
        <w:rPr>
          <w:rFonts w:cs="Arial"/>
        </w:rPr>
        <w:t>O foro competente para dirimir qualquer questão contratual é o da comarca de Paranavaí.</w:t>
      </w:r>
    </w:p>
    <w:p w14:paraId="384A949E">
      <w:pPr>
        <w:spacing w:before="120" w:after="0" w:line="264" w:lineRule="auto"/>
        <w:jc w:val="center"/>
        <w:rPr>
          <w:rFonts w:eastAsia="Times New Roman" w:cs="Arial"/>
          <w:color w:val="000000"/>
          <w:lang w:eastAsia="pt-BR"/>
        </w:rPr>
      </w:pPr>
      <w:r>
        <w:rPr>
          <w:rFonts w:cs="Arial"/>
        </w:rPr>
        <w:t>Paranavaí</w:t>
      </w:r>
      <w:r>
        <w:rPr>
          <w:rFonts w:eastAsia="Times New Roman" w:cs="Arial"/>
          <w:color w:val="000000"/>
          <w:lang w:eastAsia="pt-BR"/>
        </w:rPr>
        <w:t>-PR, ...... de ........ de .......</w:t>
      </w:r>
    </w:p>
    <w:p w14:paraId="52FCEBBE">
      <w:pPr>
        <w:spacing w:before="120" w:after="0" w:line="264" w:lineRule="auto"/>
        <w:jc w:val="center"/>
        <w:rPr>
          <w:rFonts w:cs="Arial"/>
        </w:rPr>
      </w:pPr>
      <w:r>
        <w:rPr>
          <w:rFonts w:hint="default" w:eastAsia="Times New Roman" w:cs="Arial"/>
          <w:color w:val="000000"/>
          <w:lang w:val="en-US" w:eastAsia="pt-BR"/>
        </w:rPr>
        <w:t xml:space="preserve"> </w:t>
      </w:r>
      <w:r>
        <w:rPr>
          <w:rFonts w:eastAsia="Times New Roman" w:cs="Arial"/>
          <w:color w:val="000000"/>
          <w:lang w:eastAsia="pt-BR"/>
        </w:rPr>
        <w:t xml:space="preserve">Município de </w:t>
      </w:r>
      <w:r>
        <w:rPr>
          <w:rFonts w:cs="Arial"/>
        </w:rPr>
        <w:t>Paranavaí</w:t>
      </w:r>
    </w:p>
    <w:p w14:paraId="0C7DB90B">
      <w:pPr>
        <w:pStyle w:val="41"/>
        <w:tabs>
          <w:tab w:val="left" w:pos="709"/>
        </w:tabs>
        <w:spacing w:before="240" w:after="0"/>
        <w:ind w:left="0"/>
        <w:contextualSpacing w:val="0"/>
        <w:jc w:val="center"/>
        <w:rPr>
          <w:rFonts w:cs="Arial"/>
        </w:rPr>
      </w:pPr>
      <w:r>
        <w:rPr>
          <w:rFonts w:cs="Arial"/>
        </w:rPr>
        <w:t>Secretário Municipal ordenador ou responsável pela entidade</w:t>
      </w:r>
    </w:p>
    <w:p w14:paraId="3D39B615">
      <w:pPr>
        <w:spacing w:before="120" w:after="0" w:line="264" w:lineRule="auto"/>
        <w:jc w:val="center"/>
        <w:rPr>
          <w:rFonts w:eastAsia="Times New Roman" w:cs="Arial"/>
          <w:color w:val="000000"/>
          <w:lang w:eastAsia="pt-BR"/>
        </w:rPr>
      </w:pPr>
      <w:r>
        <w:rPr>
          <w:rFonts w:eastAsia="Times New Roman" w:cs="Arial"/>
          <w:color w:val="000000"/>
          <w:lang w:eastAsia="pt-BR"/>
        </w:rPr>
        <w:t>CONTRATADO</w:t>
      </w:r>
    </w:p>
    <w:p w14:paraId="7EC53711">
      <w:pPr>
        <w:spacing w:before="0" w:after="0" w:line="240" w:lineRule="auto"/>
        <w:jc w:val="both"/>
        <w:rPr>
          <w:rFonts w:cs="Arial"/>
        </w:rPr>
      </w:pPr>
      <w:r>
        <w:rPr>
          <w:rFonts w:cs="Arial"/>
        </w:rPr>
        <w:t>Testemunhas:</w:t>
      </w:r>
    </w:p>
    <w:p w14:paraId="2AFE9A48">
      <w:pPr>
        <w:spacing w:before="0" w:after="0" w:line="240" w:lineRule="auto"/>
        <w:jc w:val="both"/>
        <w:rPr>
          <w:rFonts w:cs="Arial"/>
        </w:rPr>
      </w:pPr>
      <w:r>
        <w:rPr>
          <w:rFonts w:cs="Arial"/>
        </w:rPr>
        <w:t>Nome:</w:t>
      </w:r>
    </w:p>
    <w:p w14:paraId="420BDB66">
      <w:pPr>
        <w:spacing w:before="0" w:after="0" w:line="240" w:lineRule="auto"/>
        <w:jc w:val="both"/>
        <w:rPr>
          <w:rFonts w:cs="Arial"/>
        </w:rPr>
      </w:pPr>
      <w:r>
        <w:rPr>
          <w:rFonts w:cs="Arial"/>
        </w:rPr>
        <w:t>CPF:</w:t>
      </w:r>
      <w:r>
        <w:rPr>
          <w:rFonts w:cs="Arial"/>
        </w:rPr>
        <w:tab/>
      </w:r>
      <w:r>
        <w:rPr>
          <w:rFonts w:cs="Arial"/>
        </w:rPr>
        <w:tab/>
      </w:r>
      <w:r>
        <w:rPr>
          <w:rFonts w:cs="Arial"/>
        </w:rPr>
        <w:tab/>
      </w:r>
      <w:r>
        <w:rPr>
          <w:rFonts w:cs="Arial"/>
        </w:rPr>
        <w:tab/>
      </w:r>
      <w:r>
        <w:rPr>
          <w:rFonts w:cs="Arial"/>
        </w:rPr>
        <w:tab/>
      </w:r>
      <w:r>
        <w:rPr>
          <w:rFonts w:cs="Arial"/>
        </w:rPr>
        <w:t>Assinatura:</w:t>
      </w:r>
    </w:p>
    <w:p w14:paraId="2FED6D0B">
      <w:pPr>
        <w:spacing w:before="0" w:after="0" w:line="240" w:lineRule="auto"/>
        <w:jc w:val="both"/>
        <w:rPr>
          <w:rFonts w:cs="Arial"/>
        </w:rPr>
      </w:pPr>
      <w:r>
        <w:rPr>
          <w:rFonts w:cs="Arial"/>
        </w:rPr>
        <w:t>Nome:</w:t>
      </w:r>
    </w:p>
    <w:p w14:paraId="22619220">
      <w:pPr>
        <w:spacing w:before="0" w:after="0" w:line="240" w:lineRule="auto"/>
        <w:jc w:val="both"/>
        <w:rPr>
          <w:rFonts w:cs="Arial"/>
        </w:rPr>
      </w:pPr>
      <w:r>
        <w:rPr>
          <w:rFonts w:cs="Arial"/>
        </w:rPr>
        <w:t>CPF</w:t>
      </w:r>
      <w:r>
        <w:rPr>
          <w:rFonts w:cs="Arial"/>
        </w:rPr>
        <w:tab/>
      </w:r>
      <w:r>
        <w:rPr>
          <w:rFonts w:cs="Arial"/>
        </w:rPr>
        <w:tab/>
      </w:r>
      <w:r>
        <w:rPr>
          <w:rFonts w:cs="Arial"/>
        </w:rPr>
        <w:tab/>
      </w:r>
      <w:r>
        <w:rPr>
          <w:rFonts w:cs="Arial"/>
        </w:rPr>
        <w:tab/>
      </w:r>
      <w:r>
        <w:rPr>
          <w:rFonts w:cs="Arial"/>
        </w:rPr>
        <w:t>Assinatura:</w:t>
      </w:r>
    </w:p>
    <w:p w14:paraId="14AB7F78">
      <w:pPr>
        <w:spacing w:before="0" w:after="0" w:line="240" w:lineRule="auto"/>
        <w:jc w:val="both"/>
        <w:rPr>
          <w:rFonts w:cs="Arial"/>
        </w:rPr>
      </w:pPr>
    </w:p>
    <w:p w14:paraId="2477E27C">
      <w:pPr>
        <w:spacing w:before="0" w:after="0" w:line="240" w:lineRule="auto"/>
        <w:jc w:val="both"/>
        <w:rPr>
          <w:rFonts w:cs="Arial"/>
        </w:rPr>
      </w:pPr>
    </w:p>
    <w:p w14:paraId="2DBF1A82">
      <w:pPr>
        <w:spacing w:before="0" w:after="0" w:line="240" w:lineRule="auto"/>
        <w:jc w:val="both"/>
        <w:rPr>
          <w:rFonts w:cs="Arial"/>
        </w:rPr>
      </w:pPr>
    </w:p>
    <w:p w14:paraId="4F41BFC7">
      <w:pPr>
        <w:spacing w:before="0" w:after="0" w:line="240" w:lineRule="auto"/>
        <w:jc w:val="both"/>
        <w:rPr>
          <w:rFonts w:cs="Arial"/>
        </w:rPr>
      </w:pPr>
    </w:p>
    <w:p w14:paraId="7AEE450A">
      <w:pPr>
        <w:spacing w:before="0" w:after="0" w:line="240" w:lineRule="auto"/>
        <w:jc w:val="both"/>
        <w:rPr>
          <w:rFonts w:cs="Arial"/>
        </w:rPr>
      </w:pPr>
    </w:p>
    <w:p w14:paraId="1A478CB5">
      <w:pPr>
        <w:spacing w:before="0" w:after="0" w:line="240" w:lineRule="auto"/>
        <w:jc w:val="both"/>
        <w:rPr>
          <w:rFonts w:cs="Arial"/>
        </w:rPr>
      </w:pPr>
    </w:p>
    <w:p w14:paraId="747BE65E">
      <w:pPr>
        <w:spacing w:before="0" w:after="0" w:line="240" w:lineRule="auto"/>
        <w:jc w:val="both"/>
        <w:rPr>
          <w:rFonts w:cs="Arial"/>
        </w:rPr>
      </w:pPr>
    </w:p>
    <w:p w14:paraId="2AEED376">
      <w:pPr>
        <w:spacing w:before="0" w:after="0" w:line="240" w:lineRule="auto"/>
        <w:jc w:val="both"/>
        <w:rPr>
          <w:rFonts w:cs="Arial"/>
        </w:rPr>
      </w:pPr>
    </w:p>
    <w:p w14:paraId="766CD080">
      <w:pPr>
        <w:spacing w:before="0" w:after="0" w:line="240" w:lineRule="auto"/>
        <w:jc w:val="both"/>
        <w:rPr>
          <w:rFonts w:cs="Arial"/>
        </w:rPr>
      </w:pPr>
    </w:p>
    <w:p w14:paraId="6F41EC7F">
      <w:pPr>
        <w:spacing w:before="0" w:after="0" w:line="240" w:lineRule="auto"/>
        <w:jc w:val="both"/>
        <w:rPr>
          <w:rFonts w:cs="Arial"/>
        </w:rPr>
      </w:pPr>
    </w:p>
    <w:p w14:paraId="37074E36">
      <w:pPr>
        <w:spacing w:before="0" w:after="0" w:line="240" w:lineRule="auto"/>
        <w:jc w:val="both"/>
        <w:rPr>
          <w:rFonts w:cs="Arial"/>
        </w:rPr>
      </w:pPr>
    </w:p>
    <w:p w14:paraId="5F913E5D">
      <w:pPr>
        <w:spacing w:before="0" w:after="0" w:line="240" w:lineRule="auto"/>
        <w:jc w:val="both"/>
        <w:rPr>
          <w:rFonts w:cs="Arial"/>
        </w:rPr>
      </w:pPr>
    </w:p>
    <w:p w14:paraId="46FF1DC7">
      <w:pPr>
        <w:spacing w:before="0" w:after="0" w:line="240" w:lineRule="auto"/>
        <w:jc w:val="both"/>
        <w:rPr>
          <w:rFonts w:cs="Arial"/>
        </w:rPr>
      </w:pPr>
    </w:p>
    <w:p w14:paraId="41CC88FC">
      <w:pPr>
        <w:spacing w:before="0" w:after="0" w:line="240" w:lineRule="auto"/>
        <w:jc w:val="both"/>
        <w:rPr>
          <w:rFonts w:cs="Arial"/>
        </w:rPr>
      </w:pPr>
    </w:p>
    <w:p w14:paraId="03BBCB4B">
      <w:pPr>
        <w:spacing w:before="0" w:after="0" w:line="240" w:lineRule="auto"/>
        <w:jc w:val="both"/>
        <w:rPr>
          <w:rFonts w:cs="Arial"/>
        </w:rPr>
      </w:pPr>
    </w:p>
    <w:p w14:paraId="317EEE95">
      <w:pPr>
        <w:spacing w:before="0" w:after="0" w:line="240" w:lineRule="auto"/>
        <w:jc w:val="both"/>
        <w:rPr>
          <w:rFonts w:cs="Arial"/>
        </w:rPr>
      </w:pPr>
    </w:p>
    <w:p w14:paraId="7B18DDFF">
      <w:pPr>
        <w:spacing w:before="0" w:after="0" w:line="240" w:lineRule="auto"/>
        <w:jc w:val="both"/>
        <w:rPr>
          <w:rFonts w:cs="Arial"/>
        </w:rPr>
      </w:pPr>
    </w:p>
    <w:p w14:paraId="23463E14">
      <w:pPr>
        <w:spacing w:before="0" w:after="0" w:line="240" w:lineRule="auto"/>
        <w:jc w:val="both"/>
        <w:rPr>
          <w:rFonts w:cs="Arial"/>
        </w:rPr>
      </w:pPr>
    </w:p>
    <w:p w14:paraId="0B66B7CF">
      <w:pPr>
        <w:spacing w:before="0" w:after="0" w:line="240" w:lineRule="auto"/>
        <w:jc w:val="both"/>
        <w:rPr>
          <w:rFonts w:cs="Arial"/>
        </w:rPr>
      </w:pPr>
    </w:p>
    <w:p w14:paraId="14A36C0E">
      <w:pPr>
        <w:spacing w:before="0" w:after="0" w:line="240" w:lineRule="auto"/>
        <w:jc w:val="both"/>
        <w:rPr>
          <w:rFonts w:cs="Arial"/>
        </w:rPr>
      </w:pPr>
    </w:p>
    <w:p w14:paraId="693911A1">
      <w:pPr>
        <w:spacing w:before="0" w:after="0" w:line="240" w:lineRule="auto"/>
        <w:jc w:val="both"/>
        <w:rPr>
          <w:rFonts w:cs="Arial"/>
        </w:rPr>
      </w:pPr>
    </w:p>
    <w:p w14:paraId="39206E95">
      <w:pPr>
        <w:spacing w:before="0" w:after="0" w:line="240" w:lineRule="auto"/>
        <w:jc w:val="both"/>
        <w:rPr>
          <w:rFonts w:cs="Arial"/>
        </w:rPr>
      </w:pPr>
    </w:p>
    <w:p w14:paraId="2C90992D">
      <w:pPr>
        <w:spacing w:before="0" w:after="0" w:line="240" w:lineRule="auto"/>
        <w:jc w:val="both"/>
        <w:rPr>
          <w:rFonts w:cs="Arial"/>
        </w:rPr>
      </w:pPr>
    </w:p>
    <w:p w14:paraId="1208799B">
      <w:pPr>
        <w:spacing w:before="0" w:after="0" w:line="240" w:lineRule="auto"/>
        <w:jc w:val="both"/>
        <w:rPr>
          <w:rFonts w:cs="Arial"/>
        </w:rPr>
      </w:pPr>
    </w:p>
    <w:p w14:paraId="41E42E02">
      <w:pPr>
        <w:spacing w:before="0" w:after="0" w:line="240" w:lineRule="auto"/>
        <w:jc w:val="both"/>
        <w:rPr>
          <w:rFonts w:cs="Arial"/>
        </w:rPr>
      </w:pPr>
    </w:p>
    <w:p w14:paraId="3BCBA453">
      <w:pPr>
        <w:spacing w:before="0" w:after="0" w:line="240" w:lineRule="auto"/>
        <w:jc w:val="both"/>
        <w:rPr>
          <w:rFonts w:cs="Arial"/>
        </w:rPr>
      </w:pPr>
    </w:p>
    <w:p w14:paraId="7EE7352F">
      <w:pPr>
        <w:spacing w:before="0" w:after="0" w:line="240" w:lineRule="auto"/>
        <w:jc w:val="both"/>
        <w:rPr>
          <w:rFonts w:cs="Arial"/>
        </w:rPr>
      </w:pPr>
    </w:p>
    <w:p w14:paraId="6AAEA42A">
      <w:pPr>
        <w:spacing w:before="0" w:after="0" w:line="240" w:lineRule="auto"/>
        <w:jc w:val="both"/>
        <w:rPr>
          <w:rFonts w:cs="Arial"/>
        </w:rPr>
      </w:pPr>
    </w:p>
    <w:p w14:paraId="3FBFD8D5">
      <w:pPr>
        <w:spacing w:before="0" w:after="0" w:line="240" w:lineRule="auto"/>
        <w:jc w:val="center"/>
        <w:rPr>
          <w:rFonts w:hint="default"/>
          <w:b/>
          <w:bCs/>
          <w:lang w:val="pt-BR"/>
        </w:rPr>
      </w:pPr>
    </w:p>
    <w:p w14:paraId="5F13FAA9">
      <w:pPr>
        <w:spacing w:before="0" w:after="0" w:line="240" w:lineRule="auto"/>
        <w:jc w:val="center"/>
        <w:rPr>
          <w:rFonts w:hint="default" w:cs="Arial"/>
          <w:sz w:val="24"/>
          <w:szCs w:val="24"/>
          <w:lang w:val="pt-BR"/>
        </w:rPr>
      </w:pPr>
      <w:r>
        <w:rPr>
          <w:rFonts w:hint="default" w:cs="Arial"/>
          <w:b/>
          <w:bCs/>
          <w:sz w:val="24"/>
          <w:szCs w:val="24"/>
          <w:lang w:val="pt-BR"/>
        </w:rPr>
        <w:t>ANEXO I  DO CONTRATO</w:t>
      </w:r>
    </w:p>
    <w:p w14:paraId="1FA93C65">
      <w:pPr>
        <w:spacing w:before="0" w:after="0" w:line="240" w:lineRule="auto"/>
        <w:jc w:val="center"/>
        <w:rPr>
          <w:rFonts w:hint="default" w:cs="Arial"/>
          <w:sz w:val="24"/>
          <w:szCs w:val="24"/>
          <w:lang w:val="pt-BR"/>
        </w:rPr>
      </w:pPr>
      <w:r>
        <w:rPr>
          <w:rFonts w:hint="default" w:cs="Arial"/>
          <w:sz w:val="24"/>
          <w:szCs w:val="24"/>
          <w:lang w:val="pt-BR"/>
        </w:rPr>
        <w:t>Manual Tributário- MT</w:t>
      </w:r>
    </w:p>
    <w:p w14:paraId="3A456A6F">
      <w:pPr>
        <w:spacing w:before="0" w:after="0" w:line="240" w:lineRule="auto"/>
        <w:jc w:val="center"/>
        <w:rPr>
          <w:rFonts w:hint="default"/>
          <w:b/>
          <w:bCs/>
          <w:lang w:val="pt-BR"/>
        </w:rPr>
      </w:pPr>
    </w:p>
    <w:p w14:paraId="26E70C8B">
      <w:pPr>
        <w:spacing w:before="0" w:after="0" w:line="240" w:lineRule="auto"/>
        <w:jc w:val="center"/>
        <w:rPr>
          <w:rFonts w:hint="default"/>
          <w:b/>
          <w:bCs/>
          <w:lang w:val="pt-BR"/>
        </w:rPr>
      </w:pPr>
    </w:p>
    <w:p w14:paraId="4A561E08">
      <w:pPr>
        <w:spacing w:before="0" w:after="0" w:line="240" w:lineRule="auto"/>
        <w:jc w:val="center"/>
        <w:rPr>
          <w:rFonts w:hint="default"/>
          <w:b/>
          <w:bCs/>
          <w:lang w:val="pt-BR"/>
        </w:rPr>
      </w:pPr>
    </w:p>
    <w:p w14:paraId="782C3C8E">
      <w:pPr>
        <w:spacing w:before="0" w:after="0" w:line="240" w:lineRule="auto"/>
        <w:jc w:val="center"/>
        <w:rPr>
          <w:rFonts w:hint="default"/>
          <w:b/>
          <w:bCs/>
          <w:lang w:val="pt-BR"/>
        </w:rPr>
      </w:pPr>
      <w:r>
        <w:drawing>
          <wp:anchor distT="0" distB="0" distL="114300" distR="114300" simplePos="0" relativeHeight="251666432" behindDoc="0" locked="0" layoutInCell="1" allowOverlap="1">
            <wp:simplePos x="0" y="0"/>
            <wp:positionH relativeFrom="column">
              <wp:posOffset>0</wp:posOffset>
            </wp:positionH>
            <wp:positionV relativeFrom="paragraph">
              <wp:posOffset>0</wp:posOffset>
            </wp:positionV>
            <wp:extent cx="5942965" cy="7278370"/>
            <wp:effectExtent l="0" t="0" r="635" b="17780"/>
            <wp:wrapNone/>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1"/>
                    <pic:cNvPicPr>
                      <a:picLocks noChangeAspect="1"/>
                    </pic:cNvPicPr>
                  </pic:nvPicPr>
                  <pic:blipFill>
                    <a:blip r:embed="rId16"/>
                    <a:stretch>
                      <a:fillRect/>
                    </a:stretch>
                  </pic:blipFill>
                  <pic:spPr>
                    <a:xfrm>
                      <a:off x="0" y="0"/>
                      <a:ext cx="5942965" cy="7278370"/>
                    </a:xfrm>
                    <a:prstGeom prst="rect">
                      <a:avLst/>
                    </a:prstGeom>
                    <a:noFill/>
                    <a:ln>
                      <a:noFill/>
                    </a:ln>
                  </pic:spPr>
                </pic:pic>
              </a:graphicData>
            </a:graphic>
          </wp:anchor>
        </w:drawing>
      </w:r>
    </w:p>
    <w:p w14:paraId="737E5F62">
      <w:pPr>
        <w:rPr>
          <w:rFonts w:hint="default" w:ascii="Arial" w:hAnsi="Arial" w:cs="Arial"/>
          <w:b w:val="0"/>
          <w:bCs w:val="0"/>
          <w:u w:val="single"/>
        </w:rPr>
      </w:pPr>
      <w:sdt>
        <w:sdtPr>
          <w:alias w:val="Benefícios para micro e pequenas empresas"/>
          <w:tag w:val="Benefícios para micro e pequenas empresas"/>
          <w:id w:val="1594978042"/>
          <w:lock w:val="sdtLocked"/>
          <w:placeholder>
            <w:docPart w:val="{f3e70cf9-03dc-4670-b1fa-7f1f0a6a648b}"/>
          </w:placeholder>
          <w:showingPlcHdr/>
          <w:comboBox>
            <w:listItem w:displayText="CLIQUE PARA ESCOLHER UMA OPÇÃO" w:value="CLIQUE PARA ESCOLHER UMA OPÇÃO"/>
            <w:listItem w:displayText="Licitação exclusiva para MEI, ME, EPP, Restrito LOCAL" w:value="Licitação exclusiva para MEI, ME, EPP, Restrito LOCAL"/>
            <w:listItem w:displayText="Licitação exclusiva para MEI, ME, EPP, Restrito REGIONAL" w:value="Licitação exclusiva para MEI, ME, EPP, Restrito REGIONAL"/>
            <w:listItem w:displayText="Cota Reservada de até 25% para MEI, ME, EPP, Restrito LOCAL" w:value="Cota Reservada de até 25% para MEI, ME, EPP, Restrito LOCAL"/>
            <w:listItem w:displayText="Cota Reservada  de até 25 %para MEI, ME, EPP, Restrito REGIONAL" w:value="Cota Reservada  de até 25 %para MEI, ME, EPP, Restrito REGIONAL"/>
            <w:listItem w:displayText="Restrito LOCAL e com cota reservada de até 25% restrito LOCAL" w:value="Restrito LOCAL e com cota reservada de até 25% restrito LOCAL"/>
            <w:listItem w:displayText="Restrito REGIONAL e com cota reservada de até 25% restrito REGIONAL" w:value="Restrito REGIONAL e com cota reservada de até 25% restrito REGIONAL"/>
            <w:listItem w:displayText="Restrito Local, com Cota Reservada de até 25% e Margem de Preferência de até 10%" w:value="Restrito Local, com Cota Reservada de até 25% e Margem de Preferência de até 10%"/>
            <w:listItem w:displayText="Restrito Regional, com Cota Reservada de até 25% e Margem de Preferência de até 10%" w:value="Restrito Regional, com Cota Reservada de até 25% e Margem de Preferência de até 10%"/>
            <w:listItem w:displayText="Com Cota Reservada de até 25% restrito LOCAL e Margem de Preferência de até 10%" w:value="Com Cota Reservada de até 25% restrito LOCAL e Margem de Preferência de até 10%"/>
            <w:listItem w:displayText="Com Cota Reservada de até 25% restrito REGIONAL e Margem de Preferência de até 10%" w:value="Com Cota Reservada de até 25% restrito REGIONAL e Margem de Preferência de até 10%"/>
            <w:listItem w:displayText="Comprovação Tardia e Empate Ficto para Obras e Serviços de Engenharia" w:value="Comprovação Tardia e Empate Ficto para Obras e Serviços de Engenharia"/>
            <w:listItem w:displayText="EXCLUSIVA MEI, ME E EPP" w:value="EXCLUSIVA MEI, ME E EPP"/>
            <w:listItem w:displayText="COM COTA RESERVADA DE ATÉ 25% PARA MEI, ME E EPP" w:value="COM COTA RESERVADA DE ATÉ 25% PARA MEI, ME E EPP"/>
            <w:listItem w:displayText="EXCLUSIVO MEI, ME E EPP E COM COTA RESERVADA EXCLUSIVA MEI, ME E EPP" w:value="EXCLUSIVO MEI, ME E EPP E COM COTA RESERVADA EXCLUSIVA MEI, ME E EPP"/>
            <w:listItem w:displayText="SEM BENEFÍCIO" w:value="SEM BENEFÍCIO"/>
          </w:comboBox>
        </w:sdtPr>
        <w:sdtEndPr>
          <w:rPr>
            <w:rFonts w:hint="default" w:ascii="Arial" w:hAnsi="Arial" w:cs="Arial"/>
            <w:b w:val="0"/>
            <w:bCs w:val="0"/>
            <w:u w:val="single"/>
          </w:rPr>
        </w:sdtEndPr>
        <w:sdtContent>
          <w:r>
            <w:rPr>
              <w:rStyle w:val="53"/>
            </w:rPr>
            <w:t>Escolher um item.</w:t>
          </w:r>
        </w:sdtContent>
      </w:sdt>
      <w:r>
        <w:rPr>
          <w:rFonts w:hint="default" w:ascii="Arial" w:hAnsi="Arial" w:cs="Arial"/>
          <w:b w:val="0"/>
          <w:bCs w:val="0"/>
          <w:u w:val="single"/>
        </w:rPr>
        <w:t xml:space="preserve">   </w:t>
      </w:r>
    </w:p>
    <w:sectPr>
      <w:headerReference r:id="rId10" w:type="first"/>
      <w:footerReference r:id="rId13" w:type="first"/>
      <w:headerReference r:id="rId8" w:type="default"/>
      <w:footerReference r:id="rId11" w:type="default"/>
      <w:headerReference r:id="rId9" w:type="even"/>
      <w:footerReference r:id="rId12" w:type="even"/>
      <w:pgSz w:w="11906" w:h="16838"/>
      <w:pgMar w:top="189" w:right="1128" w:bottom="851" w:left="1418" w:header="132" w:footer="454" w:gutter="0"/>
      <w:pgNumType w:fmt="decimal" w:start="1"/>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roman"/>
    <w:pitch w:val="default"/>
    <w:sig w:usb0="E4002EFF" w:usb1="C200247B" w:usb2="00000009" w:usb3="00000000" w:csb0="200001FF" w:csb1="00000000"/>
  </w:font>
  <w:font w:name="黑体">
    <w:altName w:val="SimSun"/>
    <w:panose1 w:val="00000000000000000000"/>
    <w:charset w:val="00"/>
    <w:family w:val="auto"/>
    <w:pitch w:val="default"/>
    <w:sig w:usb0="00000000" w:usb1="00000000" w:usb2="00000000" w:usb3="00000000" w:csb0="00000000" w:csb1="00000000"/>
  </w:font>
  <w:font w:name="Bookman Old Style">
    <w:altName w:val="Segoe Print"/>
    <w:panose1 w:val="00000000000000000000"/>
    <w:charset w:val="00"/>
    <w:family w:val="roman"/>
    <w:pitch w:val="default"/>
    <w:sig w:usb0="00000000" w:usb1="00000000" w:usb2="00000000" w:usb3="00000000" w:csb0="00000000" w:csb1="00000000"/>
  </w:font>
  <w:font w:name="Segoe UI">
    <w:panose1 w:val="020B0502040204020203"/>
    <w:charset w:val="00"/>
    <w:family w:val="roman"/>
    <w:pitch w:val="default"/>
    <w:sig w:usb0="E4002EFF" w:usb1="C000E47F" w:usb2="00000009" w:usb3="00000000" w:csb0="200001FF" w:csb1="00000000"/>
  </w:font>
  <w:font w:name="Wingdings">
    <w:panose1 w:val="05000000000000000000"/>
    <w:charset w:val="00"/>
    <w:family w:val="roman"/>
    <w:pitch w:val="default"/>
    <w:sig w:usb0="00000000" w:usb1="00000000" w:usb2="00000000" w:usb3="00000000" w:csb0="80000000" w:csb1="00000000"/>
  </w:font>
  <w:font w:name="TimesNewRomanPSMT">
    <w:altName w:val="Times New Roman"/>
    <w:panose1 w:val="00000000000000000000"/>
    <w:charset w:val="00"/>
    <w:family w:val="roman"/>
    <w:pitch w:val="default"/>
    <w:sig w:usb0="00000000" w:usb1="00000000" w:usb2="00000000" w:usb3="00000000" w:csb0="00000000" w:csb1="00000000"/>
  </w:font>
  <w:font w:name="Liberation Sans">
    <w:panose1 w:val="020B0604020202020204"/>
    <w:charset w:val="00"/>
    <w:family w:val="roman"/>
    <w:pitch w:val="default"/>
    <w:sig w:usb0="E0000AFF" w:usb1="500078FF" w:usb2="00000021" w:usb3="00000000" w:csb0="600001BF" w:csb1="DFF70000"/>
  </w:font>
  <w:font w:name="Microsoft YaHei">
    <w:panose1 w:val="020B0503020204020204"/>
    <w:charset w:val="86"/>
    <w:family w:val="auto"/>
    <w:pitch w:val="default"/>
    <w:sig w:usb0="80000287" w:usb1="2ACF3C50" w:usb2="00000016" w:usb3="00000000" w:csb0="0004001F" w:csb1="00000000"/>
  </w:font>
  <w:font w:name="Liberation Serif">
    <w:panose1 w:val="02020603050405020304"/>
    <w:charset w:val="00"/>
    <w:family w:val="roman"/>
    <w:pitch w:val="default"/>
    <w:sig w:usb0="E0000AFF" w:usb1="500078FF" w:usb2="00000021" w:usb3="00000000" w:csb0="600001BF" w:csb1="DFF70000"/>
  </w:font>
  <w:font w:name="NSimSun">
    <w:panose1 w:val="02010609030101010101"/>
    <w:charset w:val="86"/>
    <w:family w:val="auto"/>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Helvetica">
    <w:altName w:val="Arial"/>
    <w:panose1 w:val="00000000000000000000"/>
    <w:charset w:val="00"/>
    <w:family w:val="roman"/>
    <w:pitch w:val="default"/>
    <w:sig w:usb0="00000000" w:usb1="00000000" w:usb2="00000000" w:usb3="00000000" w:csb0="00000000" w:csb1="00000000"/>
  </w:font>
  <w:font w:name="MS Gothic">
    <w:panose1 w:val="020B0609070205080204"/>
    <w:charset w:val="80"/>
    <w:family w:val="roman"/>
    <w:pitch w:val="default"/>
    <w:sig w:usb0="E00002FF" w:usb1="6AC7FDFB" w:usb2="08000012" w:usb3="00000000" w:csb0="4002009F" w:csb1="DFD70000"/>
  </w:font>
  <w:font w:name="Arial-BoldM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C9674">
    <w:pPr>
      <w:widowControl/>
      <w:bidi w:val="0"/>
      <w:spacing w:before="240" w:after="0" w:line="312" w:lineRule="auto"/>
      <w:jc w:val="left"/>
    </w:pPr>
  </w:p>
  <w:p w14:paraId="3E077FF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B67F7">
    <w:pPr>
      <w:spacing w:before="240"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5EE6B">
    <w:pPr>
      <w:widowControl/>
      <w:bidi w:val="0"/>
      <w:spacing w:before="240" w:after="0" w:line="312" w:lineRule="auto"/>
      <w:jc w:val="left"/>
    </w:pPr>
  </w:p>
  <w:p w14:paraId="0439BB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ABEE1">
    <w:pPr>
      <w:pStyle w:val="22"/>
      <w:tabs>
        <w:tab w:val="left" w:pos="4032"/>
        <w:tab w:val="clear" w:pos="4252"/>
        <w:tab w:val="clear" w:pos="8504"/>
      </w:tabs>
      <w:jc w:val="center"/>
    </w:pPr>
    <w:r>
      <w:drawing>
        <wp:anchor distT="0" distB="0" distL="0" distR="0" simplePos="0" relativeHeight="251664384" behindDoc="1" locked="0" layoutInCell="0" allowOverlap="1">
          <wp:simplePos x="0" y="0"/>
          <wp:positionH relativeFrom="column">
            <wp:posOffset>13970</wp:posOffset>
          </wp:positionH>
          <wp:positionV relativeFrom="paragraph">
            <wp:posOffset>162560</wp:posOffset>
          </wp:positionV>
          <wp:extent cx="3529965" cy="850900"/>
          <wp:effectExtent l="0" t="0" r="13335" b="635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a:xfrm>
                    <a:off x="0" y="0"/>
                    <a:ext cx="3529965" cy="850900"/>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3614420</wp:posOffset>
          </wp:positionH>
          <wp:positionV relativeFrom="paragraph">
            <wp:posOffset>153670</wp:posOffset>
          </wp:positionV>
          <wp:extent cx="2413000" cy="805180"/>
          <wp:effectExtent l="0" t="0" r="0" b="0"/>
          <wp:wrapThrough wrapText="bothSides">
            <wp:wrapPolygon>
              <wp:start x="0" y="0"/>
              <wp:lineTo x="0" y="17375"/>
              <wp:lineTo x="20804" y="17375"/>
              <wp:lineTo x="20804" y="0"/>
              <wp:lineTo x="0" y="0"/>
            </wp:wrapPolygon>
          </wp:wrapThrough>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a:picLocks noChangeAspect="1" noChangeArrowheads="1"/>
                  </pic:cNvPicPr>
                </pic:nvPicPr>
                <pic:blipFill>
                  <a:blip r:embed="rId2">
                    <a:extLst>
                      <a:ext uri="{28A0092B-C50C-407E-A947-70E740481C1C}">
                        <a14:useLocalDpi xmlns:a14="http://schemas.microsoft.com/office/drawing/2010/main" val="0"/>
                      </a:ext>
                    </a:extLst>
                  </a:blip>
                  <a:srcRect l="58528"/>
                  <a:stretch>
                    <a:fillRect/>
                  </a:stretch>
                </pic:blipFill>
                <pic:spPr>
                  <a:xfrm>
                    <a:off x="0" y="0"/>
                    <a:ext cx="2413000" cy="80518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39531">
    <w:pPr>
      <w:pStyle w:val="2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DF0C3">
    <w:pPr>
      <w:pStyle w:val="22"/>
      <w:tabs>
        <w:tab w:val="left" w:pos="4032"/>
        <w:tab w:val="clear" w:pos="4252"/>
        <w:tab w:val="clear" w:pos="8504"/>
      </w:tabs>
      <w:jc w:val="center"/>
    </w:pPr>
    <w:r>
      <w:drawing>
        <wp:anchor distT="0" distB="0" distL="114300" distR="114300" simplePos="0" relativeHeight="251659264" behindDoc="1" locked="0" layoutInCell="0" allowOverlap="1">
          <wp:simplePos x="0" y="0"/>
          <wp:positionH relativeFrom="column">
            <wp:posOffset>1394460</wp:posOffset>
          </wp:positionH>
          <wp:positionV relativeFrom="paragraph">
            <wp:posOffset>-19050</wp:posOffset>
          </wp:positionV>
          <wp:extent cx="4172585" cy="619125"/>
          <wp:effectExtent l="0" t="0" r="0" b="0"/>
          <wp:wrapSquare wrapText="bothSides"/>
          <wp:docPr id="45" name="Imagem 1178511214" descr="Tela de celular com texto preto sobre fundo branc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m 1178511214" descr="Tela de celular com texto preto sobre fundo branco&#10;&#10;Descrição gerada automaticamente com confiança baixa"/>
                  <pic:cNvPicPr>
                    <a:picLocks noChangeAspect="1" noChangeArrowheads="1"/>
                  </pic:cNvPicPr>
                </pic:nvPicPr>
                <pic:blipFill>
                  <a:blip r:embed="rId1"/>
                  <a:stretch>
                    <a:fillRect/>
                  </a:stretch>
                </pic:blipFill>
                <pic:spPr>
                  <a:xfrm>
                    <a:off x="0" y="0"/>
                    <a:ext cx="4172585" cy="619125"/>
                  </a:xfrm>
                  <a:prstGeom prst="rect">
                    <a:avLst/>
                  </a:prstGeom>
                </pic:spPr>
              </pic:pic>
            </a:graphicData>
          </a:graphic>
        </wp:anchor>
      </w:drawing>
    </w:r>
    <w:r>
      <w:drawing>
        <wp:anchor distT="0" distB="0" distL="114300" distR="114300" simplePos="0" relativeHeight="251659264" behindDoc="1" locked="0" layoutInCell="0" allowOverlap="1">
          <wp:simplePos x="0" y="0"/>
          <wp:positionH relativeFrom="column">
            <wp:posOffset>337185</wp:posOffset>
          </wp:positionH>
          <wp:positionV relativeFrom="paragraph">
            <wp:posOffset>-10795</wp:posOffset>
          </wp:positionV>
          <wp:extent cx="561340" cy="687070"/>
          <wp:effectExtent l="0" t="0" r="0" b="0"/>
          <wp:wrapSquare wrapText="bothSides"/>
          <wp:docPr id="46" name="Imagem 12640886"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m 12640886" descr="Desenho de personagem de desenho animado&#10;&#10;Descrição gerada automaticamente com confiança média"/>
                  <pic:cNvPicPr>
                    <a:picLocks noChangeAspect="1" noChangeArrowheads="1"/>
                  </pic:cNvPicPr>
                </pic:nvPicPr>
                <pic:blipFill>
                  <a:blip r:embed="rId2"/>
                  <a:stretch>
                    <a:fillRect/>
                  </a:stretch>
                </pic:blipFill>
                <pic:spPr>
                  <a:xfrm>
                    <a:off x="0" y="0"/>
                    <a:ext cx="561340" cy="687070"/>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93037">
    <w:pPr>
      <w:pStyle w:val="22"/>
      <w:tabs>
        <w:tab w:val="left" w:pos="4032"/>
        <w:tab w:val="right" w:pos="8329"/>
        <w:tab w:val="clear" w:pos="4252"/>
        <w:tab w:val="clear" w:pos="8504"/>
      </w:tabs>
      <w:ind w:firstLine="1134"/>
    </w:pPr>
    <w:r>
      <w:drawing>
        <wp:anchor distT="0" distB="0" distL="0" distR="0" simplePos="0" relativeHeight="251665408" behindDoc="1" locked="0" layoutInCell="0" allowOverlap="1">
          <wp:simplePos x="0" y="0"/>
          <wp:positionH relativeFrom="column">
            <wp:posOffset>13970</wp:posOffset>
          </wp:positionH>
          <wp:positionV relativeFrom="paragraph">
            <wp:posOffset>78105</wp:posOffset>
          </wp:positionV>
          <wp:extent cx="3529965" cy="744220"/>
          <wp:effectExtent l="0" t="0" r="13335" b="17780"/>
          <wp:wrapSquare wrapText="largest"/>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a:xfrm>
                    <a:off x="0" y="0"/>
                    <a:ext cx="3529965" cy="744220"/>
                  </a:xfrm>
                  <a:prstGeom prst="rect">
                    <a:avLst/>
                  </a:prstGeom>
                </pic:spPr>
              </pic:pic>
            </a:graphicData>
          </a:graphic>
        </wp:anchor>
      </w:drawing>
    </w:r>
    <w:r>
      <w:drawing>
        <wp:anchor distT="0" distB="0" distL="114300" distR="114300" simplePos="0" relativeHeight="251661312" behindDoc="0" locked="0" layoutInCell="1" allowOverlap="1">
          <wp:simplePos x="0" y="0"/>
          <wp:positionH relativeFrom="column">
            <wp:posOffset>3649980</wp:posOffset>
          </wp:positionH>
          <wp:positionV relativeFrom="paragraph">
            <wp:posOffset>128905</wp:posOffset>
          </wp:positionV>
          <wp:extent cx="2390775" cy="805180"/>
          <wp:effectExtent l="0" t="0" r="0" b="0"/>
          <wp:wrapThrough wrapText="bothSides">
            <wp:wrapPolygon>
              <wp:start x="0" y="0"/>
              <wp:lineTo x="0" y="17375"/>
              <wp:lineTo x="20825" y="17375"/>
              <wp:lineTo x="20825" y="0"/>
              <wp:lineTo x="0" y="0"/>
            </wp:wrapPolygon>
          </wp:wrapThrough>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a:picLocks noChangeAspect="1" noChangeArrowheads="1"/>
                  </pic:cNvPicPr>
                </pic:nvPicPr>
                <pic:blipFill>
                  <a:blip r:embed="rId2">
                    <a:extLst>
                      <a:ext uri="{28A0092B-C50C-407E-A947-70E740481C1C}">
                        <a14:useLocalDpi xmlns:a14="http://schemas.microsoft.com/office/drawing/2010/main" val="0"/>
                      </a:ext>
                    </a:extLst>
                  </a:blip>
                  <a:srcRect l="58528"/>
                  <a:stretch>
                    <a:fillRect/>
                  </a:stretch>
                </pic:blipFill>
                <pic:spPr>
                  <a:xfrm>
                    <a:off x="0" y="0"/>
                    <a:ext cx="2390775" cy="805180"/>
                  </a:xfrm>
                  <a:prstGeom prst="rect">
                    <a:avLst/>
                  </a:prstGeom>
                  <a:noFill/>
                  <a:ln>
                    <a:noFill/>
                  </a:ln>
                </pic:spPr>
              </pic:pic>
            </a:graphicData>
          </a:graphic>
        </wp:anchor>
      </w:drawing>
    </w:r>
    <w:r>
      <w:tab/>
    </w:r>
  </w:p>
  <w:p w14:paraId="3507E930">
    <w:pPr>
      <w:pStyle w:val="22"/>
      <w:tabs>
        <w:tab w:val="left" w:pos="4032"/>
        <w:tab w:val="right" w:pos="8329"/>
        <w:tab w:val="clear" w:pos="4252"/>
        <w:tab w:val="clear" w:pos="8504"/>
      </w:tabs>
      <w:ind w:firstLine="1134"/>
    </w:pPr>
  </w:p>
  <w:p w14:paraId="618C04E8">
    <w:pPr>
      <w:pStyle w:val="22"/>
      <w:tabs>
        <w:tab w:val="left" w:pos="4032"/>
        <w:tab w:val="right" w:pos="8329"/>
        <w:tab w:val="clear" w:pos="4252"/>
        <w:tab w:val="clear" w:pos="8504"/>
      </w:tabs>
      <w:ind w:firstLine="1134"/>
    </w:pPr>
  </w:p>
  <w:p w14:paraId="500F1792">
    <w:pPr>
      <w:pStyle w:val="22"/>
      <w:tabs>
        <w:tab w:val="left" w:pos="4032"/>
        <w:tab w:val="right" w:pos="8329"/>
        <w:tab w:val="clear" w:pos="4252"/>
        <w:tab w:val="clear" w:pos="8504"/>
      </w:tabs>
      <w:ind w:firstLine="1134"/>
    </w:pPr>
  </w:p>
  <w:p w14:paraId="327C7395">
    <w:pPr>
      <w:pStyle w:val="22"/>
      <w:tabs>
        <w:tab w:val="left" w:pos="4032"/>
        <w:tab w:val="right" w:pos="8329"/>
        <w:tab w:val="clear" w:pos="4252"/>
        <w:tab w:val="clear" w:pos="8504"/>
      </w:tabs>
      <w:jc w:val="both"/>
      <w:rPr>
        <w:rFonts w:hint="default"/>
        <w:color w:val="2F5597" w:themeColor="accent1" w:themeShade="BF"/>
        <w:lang w:val="pt-BR"/>
      </w:rPr>
    </w:pPr>
    <w:r>
      <w:rPr>
        <w:rFonts w:hint="default"/>
        <w:color w:val="2F5597" w:themeColor="accent1" w:themeShade="BF"/>
        <w:lang w:val="pt-BR"/>
      </w:rPr>
      <w:t>______________________________________________________________________</w:t>
    </w:r>
  </w:p>
  <w:p w14:paraId="0C4A0262">
    <w:pPr>
      <w:pStyle w:val="22"/>
      <w:tabs>
        <w:tab w:val="left" w:pos="4032"/>
        <w:tab w:val="right" w:pos="8329"/>
        <w:tab w:val="clear" w:pos="4252"/>
        <w:tab w:val="clear" w:pos="8504"/>
      </w:tabs>
      <w:ind w:firstLine="11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EEAA2">
    <w:pPr>
      <w:pStyle w:val="2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674E7">
    <w:pPr>
      <w:pStyle w:val="22"/>
      <w:tabs>
        <w:tab w:val="left" w:pos="4032"/>
        <w:tab w:val="right" w:pos="8329"/>
        <w:tab w:val="clear" w:pos="4252"/>
        <w:tab w:val="clear" w:pos="8504"/>
      </w:tabs>
      <w:ind w:firstLine="1134"/>
    </w:pPr>
    <w:r>
      <w:drawing>
        <wp:anchor distT="0" distB="0" distL="114300" distR="114300" simplePos="0" relativeHeight="251659264" behindDoc="1" locked="0" layoutInCell="0" allowOverlap="1">
          <wp:simplePos x="0" y="0"/>
          <wp:positionH relativeFrom="column">
            <wp:posOffset>-24130</wp:posOffset>
          </wp:positionH>
          <wp:positionV relativeFrom="paragraph">
            <wp:posOffset>99695</wp:posOffset>
          </wp:positionV>
          <wp:extent cx="561975" cy="687705"/>
          <wp:effectExtent l="0" t="0" r="0" b="0"/>
          <wp:wrapSquare wrapText="bothSides"/>
          <wp:docPr id="55" name="Imagem 1274125293" descr="Desenho de personagem de desenho animad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m 1274125293" descr="Desenho de personagem de desenho animado&#10;&#10;Descrição gerada automaticamente com confiança média"/>
                  <pic:cNvPicPr>
                    <a:picLocks noChangeAspect="1" noChangeArrowheads="1"/>
                  </pic:cNvPicPr>
                </pic:nvPicPr>
                <pic:blipFill>
                  <a:blip r:embed="rId1"/>
                  <a:stretch>
                    <a:fillRect/>
                  </a:stretch>
                </pic:blipFill>
                <pic:spPr>
                  <a:xfrm>
                    <a:off x="0" y="0"/>
                    <a:ext cx="561975" cy="687705"/>
                  </a:xfrm>
                  <a:prstGeom prst="rect">
                    <a:avLst/>
                  </a:prstGeom>
                </pic:spPr>
              </pic:pic>
            </a:graphicData>
          </a:graphic>
        </wp:anchor>
      </w:drawing>
    </w:r>
    <w:r>
      <w:drawing>
        <wp:inline distT="0" distB="0" distL="0" distR="0">
          <wp:extent cx="4172585" cy="619125"/>
          <wp:effectExtent l="0" t="0" r="0" b="0"/>
          <wp:docPr id="56" name="Imagem 2127446947" descr="Tela de celular com texto preto sobre fundo branc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m 2127446947" descr="Tela de celular com texto preto sobre fundo branco&#10;&#10;Descrição gerada automaticamente com confiança baixa"/>
                  <pic:cNvPicPr>
                    <a:picLocks noChangeAspect="1" noChangeArrowheads="1"/>
                  </pic:cNvPicPr>
                </pic:nvPicPr>
                <pic:blipFill>
                  <a:blip r:embed="rId2"/>
                  <a:stretch>
                    <a:fillRect/>
                  </a:stretch>
                </pic:blipFill>
                <pic:spPr>
                  <a:xfrm>
                    <a:off x="0" y="0"/>
                    <a:ext cx="4172585" cy="619125"/>
                  </a:xfrm>
                  <a:prstGeom prst="rect">
                    <a:avLst/>
                  </a:prstGeom>
                </pic:spPr>
              </pic:pic>
            </a:graphicData>
          </a:graphic>
        </wp:inline>
      </w:drawing>
    </w:r>
    <w:r>
      <w:tab/>
    </w:r>
  </w:p>
  <w:p w14:paraId="6AED0B1E">
    <w:pPr>
      <w:pStyle w:val="22"/>
      <w:tabs>
        <w:tab w:val="left" w:pos="4032"/>
        <w:tab w:val="right" w:pos="8329"/>
        <w:tab w:val="clear" w:pos="4252"/>
        <w:tab w:val="clear" w:pos="8504"/>
      </w:tabs>
      <w:ind w:firstLine="11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pStyle w:val="129"/>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
    <w:nsid w:val="BF205925"/>
    <w:multiLevelType w:val="multilevel"/>
    <w:tmpl w:val="BF205925"/>
    <w:lvl w:ilvl="0" w:tentative="0">
      <w:start w:val="1"/>
      <w:numFmt w:val="decimal"/>
      <w:pStyle w:val="61"/>
      <w:lvlText w:val="CLÁUSULA %1ª:"/>
      <w:lvlJc w:val="left"/>
      <w:pPr>
        <w:tabs>
          <w:tab w:val="left" w:pos="0"/>
        </w:tabs>
        <w:ind w:left="2062" w:hanging="360"/>
      </w:pPr>
    </w:lvl>
    <w:lvl w:ilvl="1" w:tentative="0">
      <w:start w:val="1"/>
      <w:numFmt w:val="decimal"/>
      <w:lvlText w:val="%1.%2."/>
      <w:lvlJc w:val="left"/>
      <w:pPr>
        <w:tabs>
          <w:tab w:val="left" w:pos="0"/>
        </w:tabs>
        <w:ind w:left="574" w:hanging="432"/>
      </w:pPr>
      <w:rPr>
        <w:rFonts w:ascii="Arial" w:hAnsi="Arial" w:cs="Arial"/>
        <w:color w:val="auto"/>
        <w:sz w:val="24"/>
        <w:szCs w:val="24"/>
      </w:rPr>
    </w:lvl>
    <w:lvl w:ilvl="2" w:tentative="0">
      <w:start w:val="1"/>
      <w:numFmt w:val="decimal"/>
      <w:lvlText w:val="%1.%2.%3."/>
      <w:lvlJc w:val="left"/>
      <w:pPr>
        <w:tabs>
          <w:tab w:val="left" w:pos="0"/>
        </w:tabs>
        <w:ind w:left="504" w:hanging="504"/>
      </w:p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2">
    <w:nsid w:val="CDF31102"/>
    <w:multiLevelType w:val="singleLevel"/>
    <w:tmpl w:val="CDF3110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CF092B84"/>
    <w:multiLevelType w:val="multilevel"/>
    <w:tmpl w:val="CF092B84"/>
    <w:lvl w:ilvl="0" w:tentative="0">
      <w:start w:val="1"/>
      <w:numFmt w:val="decimal"/>
      <w:pStyle w:val="63"/>
      <w:lvlText w:val="%1."/>
      <w:lvlJc w:val="left"/>
      <w:pPr>
        <w:tabs>
          <w:tab w:val="left" w:pos="0"/>
        </w:tabs>
        <w:ind w:left="567" w:hanging="567"/>
      </w:pPr>
    </w:lvl>
    <w:lvl w:ilvl="1" w:tentative="0">
      <w:start w:val="1"/>
      <w:numFmt w:val="decimal"/>
      <w:lvlText w:val="%1.%2."/>
      <w:lvlJc w:val="left"/>
      <w:pPr>
        <w:tabs>
          <w:tab w:val="left" w:pos="0"/>
        </w:tabs>
        <w:ind w:left="624" w:hanging="624"/>
      </w:pPr>
      <w:rPr>
        <w:color w:val="auto"/>
      </w:rPr>
    </w:lvl>
    <w:lvl w:ilvl="2" w:tentative="0">
      <w:start w:val="1"/>
      <w:numFmt w:val="decimal"/>
      <w:lvlText w:val="%1.%2.%3."/>
      <w:lvlJc w:val="left"/>
      <w:pPr>
        <w:tabs>
          <w:tab w:val="left" w:pos="0"/>
        </w:tabs>
        <w:ind w:left="2722" w:hanging="737"/>
      </w:pPr>
    </w:lvl>
    <w:lvl w:ilvl="3" w:tentative="0">
      <w:start w:val="1"/>
      <w:numFmt w:val="decimal"/>
      <w:pStyle w:val="16"/>
      <w:lvlText w:val="%1.%2.%3.%4."/>
      <w:lvlJc w:val="left"/>
      <w:pPr>
        <w:tabs>
          <w:tab w:val="left" w:pos="0"/>
        </w:tabs>
        <w:ind w:left="907" w:hanging="907"/>
      </w:pPr>
    </w:lvl>
    <w:lvl w:ilvl="4" w:tentative="0">
      <w:start w:val="1"/>
      <w:numFmt w:val="decimal"/>
      <w:pStyle w:val="123"/>
      <w:lvlText w:val="%1.%2.%3.%4.%5."/>
      <w:lvlJc w:val="left"/>
      <w:pPr>
        <w:tabs>
          <w:tab w:val="left" w:pos="0"/>
        </w:tabs>
        <w:ind w:left="567" w:hanging="567"/>
      </w:pPr>
    </w:lvl>
    <w:lvl w:ilvl="5" w:tentative="0">
      <w:start w:val="1"/>
      <w:numFmt w:val="decimal"/>
      <w:lvlText w:val="%1.%2.%3.%4.%5.%6."/>
      <w:lvlJc w:val="left"/>
      <w:pPr>
        <w:tabs>
          <w:tab w:val="left" w:pos="0"/>
        </w:tabs>
        <w:ind w:left="567" w:hanging="567"/>
      </w:pPr>
    </w:lvl>
    <w:lvl w:ilvl="6" w:tentative="0">
      <w:start w:val="1"/>
      <w:numFmt w:val="decimal"/>
      <w:lvlText w:val="%1.%2.%3.%4.%5.%6.%7."/>
      <w:lvlJc w:val="left"/>
      <w:pPr>
        <w:tabs>
          <w:tab w:val="left" w:pos="0"/>
        </w:tabs>
        <w:ind w:left="567" w:hanging="567"/>
      </w:pPr>
    </w:lvl>
    <w:lvl w:ilvl="7" w:tentative="0">
      <w:start w:val="1"/>
      <w:numFmt w:val="decimal"/>
      <w:lvlText w:val="%1.%2.%3.%4.%5.%6.%7.%8."/>
      <w:lvlJc w:val="left"/>
      <w:pPr>
        <w:tabs>
          <w:tab w:val="left" w:pos="0"/>
        </w:tabs>
        <w:ind w:left="567" w:hanging="567"/>
      </w:pPr>
    </w:lvl>
    <w:lvl w:ilvl="8" w:tentative="0">
      <w:start w:val="1"/>
      <w:numFmt w:val="decimal"/>
      <w:lvlText w:val="%1.%2.%3.%4.%5.%6.%7.%8.%9."/>
      <w:lvlJc w:val="left"/>
      <w:pPr>
        <w:tabs>
          <w:tab w:val="left" w:pos="0"/>
        </w:tabs>
        <w:ind w:left="567" w:hanging="567"/>
      </w:pPr>
    </w:lvl>
  </w:abstractNum>
  <w:abstractNum w:abstractNumId="4">
    <w:nsid w:val="F05EC99B"/>
    <w:multiLevelType w:val="multilevel"/>
    <w:tmpl w:val="F05EC99B"/>
    <w:lvl w:ilvl="0" w:tentative="0">
      <w:start w:val="1"/>
      <w:numFmt w:val="decimal"/>
      <w:lvlText w:val="%1."/>
      <w:lvlJc w:val="left"/>
      <w:pPr>
        <w:tabs>
          <w:tab w:val="left" w:pos="0"/>
        </w:tabs>
        <w:ind w:left="360" w:hanging="360"/>
      </w:pPr>
    </w:lvl>
    <w:lvl w:ilvl="1" w:tentative="0">
      <w:start w:val="1"/>
      <w:numFmt w:val="decimal"/>
      <w:lvlText w:val="%1.%2."/>
      <w:lvlJc w:val="left"/>
      <w:pPr>
        <w:tabs>
          <w:tab w:val="left" w:pos="0"/>
        </w:tabs>
        <w:ind w:left="573" w:hanging="432"/>
      </w:pPr>
      <w:rPr>
        <w:b/>
        <w:bCs/>
        <w:color w:val="auto"/>
      </w:rPr>
    </w:lvl>
    <w:lvl w:ilvl="2" w:tentative="0">
      <w:start w:val="1"/>
      <w:numFmt w:val="decimal"/>
      <w:lvlText w:val="%1.%2.%3."/>
      <w:lvlJc w:val="left"/>
      <w:pPr>
        <w:tabs>
          <w:tab w:val="left" w:pos="0"/>
        </w:tabs>
        <w:ind w:left="788" w:hanging="504"/>
      </w:p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5">
    <w:nsid w:val="F35DA535"/>
    <w:multiLevelType w:val="multilevel"/>
    <w:tmpl w:val="F35DA535"/>
    <w:lvl w:ilvl="0" w:tentative="0">
      <w:start w:val="1"/>
      <w:numFmt w:val="decimal"/>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6">
    <w:nsid w:val="F829DBA7"/>
    <w:multiLevelType w:val="multilevel"/>
    <w:tmpl w:val="F829DBA7"/>
    <w:lvl w:ilvl="0" w:tentative="0">
      <w:start w:val="1"/>
      <w:numFmt w:val="decimal"/>
      <w:lvlText w:val="%1."/>
      <w:lvlJc w:val="left"/>
      <w:pPr>
        <w:tabs>
          <w:tab w:val="left" w:pos="0"/>
        </w:tabs>
        <w:ind w:left="360" w:hanging="360"/>
      </w:pPr>
    </w:lvl>
    <w:lvl w:ilvl="1" w:tentative="0">
      <w:start w:val="1"/>
      <w:numFmt w:val="decimal"/>
      <w:lvlText w:val="%1.%2."/>
      <w:lvlJc w:val="left"/>
      <w:pPr>
        <w:tabs>
          <w:tab w:val="left" w:pos="0"/>
        </w:tabs>
        <w:ind w:left="1850" w:hanging="432"/>
      </w:pPr>
      <w:rPr>
        <w:color w:val="auto"/>
      </w:rPr>
    </w:lvl>
    <w:lvl w:ilvl="2" w:tentative="0">
      <w:start w:val="1"/>
      <w:numFmt w:val="decimal"/>
      <w:lvlText w:val="%1.%2.%3."/>
      <w:lvlJc w:val="left"/>
      <w:pPr>
        <w:tabs>
          <w:tab w:val="left" w:pos="0"/>
        </w:tabs>
        <w:ind w:left="1224" w:hanging="504"/>
      </w:p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7">
    <w:nsid w:val="F97D7980"/>
    <w:multiLevelType w:val="multilevel"/>
    <w:tmpl w:val="F97D7980"/>
    <w:lvl w:ilvl="0" w:tentative="0">
      <w:start w:val="1"/>
      <w:numFmt w:val="decimal"/>
      <w:lvlText w:val="CLÁUSULA %1ª:"/>
      <w:lvlJc w:val="left"/>
      <w:pPr>
        <w:tabs>
          <w:tab w:val="left" w:pos="0"/>
        </w:tabs>
        <w:ind w:left="2062" w:hanging="360"/>
      </w:pPr>
    </w:lvl>
    <w:lvl w:ilvl="1" w:tentative="0">
      <w:start w:val="1"/>
      <w:numFmt w:val="decimal"/>
      <w:lvlText w:val="%1.%2."/>
      <w:lvlJc w:val="left"/>
      <w:pPr>
        <w:tabs>
          <w:tab w:val="left" w:pos="0"/>
        </w:tabs>
        <w:ind w:left="574" w:hanging="432"/>
      </w:pPr>
      <w:rPr>
        <w:rFonts w:hint="default" w:ascii="Arial" w:hAnsi="Arial" w:cs="Arial"/>
        <w:i w:val="0"/>
        <w:iCs w:val="0"/>
        <w:color w:val="auto"/>
        <w:sz w:val="24"/>
        <w:szCs w:val="24"/>
      </w:rPr>
    </w:lvl>
    <w:lvl w:ilvl="2" w:tentative="0">
      <w:start w:val="1"/>
      <w:numFmt w:val="decimal"/>
      <w:lvlText w:val="%1.%2.%3."/>
      <w:lvlJc w:val="left"/>
      <w:pPr>
        <w:tabs>
          <w:tab w:val="left" w:pos="0"/>
        </w:tabs>
        <w:ind w:left="504" w:hanging="504"/>
      </w:p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8">
    <w:nsid w:val="FA2336E3"/>
    <w:multiLevelType w:val="singleLevel"/>
    <w:tmpl w:val="FA2336E3"/>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9">
    <w:nsid w:val="0053208E"/>
    <w:multiLevelType w:val="multilevel"/>
    <w:tmpl w:val="0053208E"/>
    <w:lvl w:ilvl="0" w:tentative="0">
      <w:start w:val="1"/>
      <w:numFmt w:val="decimal"/>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pStyle w:val="5"/>
      <w:lvlText w:val="%4."/>
      <w:lvlJc w:val="left"/>
      <w:pPr>
        <w:tabs>
          <w:tab w:val="left" w:pos="0"/>
        </w:tabs>
        <w:ind w:left="2880" w:hanging="360"/>
      </w:pPr>
    </w:lvl>
    <w:lvl w:ilvl="4" w:tentative="0">
      <w:start w:val="1"/>
      <w:numFmt w:val="lowerLetter"/>
      <w:pStyle w:val="6"/>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pStyle w:val="7"/>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pStyle w:val="8"/>
      <w:lvlText w:val="%9."/>
      <w:lvlJc w:val="right"/>
      <w:pPr>
        <w:tabs>
          <w:tab w:val="left" w:pos="0"/>
        </w:tabs>
        <w:ind w:left="6480" w:hanging="180"/>
      </w:pPr>
    </w:lvl>
  </w:abstractNum>
  <w:abstractNum w:abstractNumId="10">
    <w:nsid w:val="03D62ECE"/>
    <w:multiLevelType w:val="multilevel"/>
    <w:tmpl w:val="03D62ECE"/>
    <w:lvl w:ilvl="0" w:tentative="0">
      <w:start w:val="1"/>
      <w:numFmt w:val="decimal"/>
      <w:pStyle w:val="131"/>
      <w:lvlText w:val="%1."/>
      <w:lvlJc w:val="left"/>
      <w:pPr>
        <w:tabs>
          <w:tab w:val="left" w:pos="0"/>
        </w:tabs>
        <w:ind w:left="360" w:hanging="360"/>
      </w:pPr>
    </w:lvl>
    <w:lvl w:ilvl="1" w:tentative="0">
      <w:start w:val="1"/>
      <w:numFmt w:val="decimal"/>
      <w:lvlText w:val="%1.%2."/>
      <w:lvlJc w:val="left"/>
      <w:pPr>
        <w:tabs>
          <w:tab w:val="left" w:pos="0"/>
        </w:tabs>
        <w:ind w:left="792" w:hanging="432"/>
      </w:pPr>
    </w:lvl>
    <w:lvl w:ilvl="2" w:tentative="0">
      <w:start w:val="1"/>
      <w:numFmt w:val="decimal"/>
      <w:lvlText w:val="%1.%2.%3."/>
      <w:lvlJc w:val="left"/>
      <w:pPr>
        <w:tabs>
          <w:tab w:val="left" w:pos="0"/>
        </w:tabs>
        <w:ind w:left="1224" w:hanging="504"/>
      </w:p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11">
    <w:nsid w:val="1E9C2FB5"/>
    <w:multiLevelType w:val="singleLevel"/>
    <w:tmpl w:val="1E9C2FB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2">
    <w:nsid w:val="25B654F3"/>
    <w:multiLevelType w:val="multilevel"/>
    <w:tmpl w:val="25B654F3"/>
    <w:lvl w:ilvl="0" w:tentative="0">
      <w:start w:val="1"/>
      <w:numFmt w:val="bullet"/>
      <w:pStyle w:val="137"/>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3">
    <w:nsid w:val="38B430B2"/>
    <w:multiLevelType w:val="singleLevel"/>
    <w:tmpl w:val="38B430B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4">
    <w:nsid w:val="3DD2B168"/>
    <w:multiLevelType w:val="singleLevel"/>
    <w:tmpl w:val="3DD2B168"/>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580DE3AD"/>
    <w:multiLevelType w:val="singleLevel"/>
    <w:tmpl w:val="580DE3AD"/>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6">
    <w:nsid w:val="59ADCABA"/>
    <w:multiLevelType w:val="multilevel"/>
    <w:tmpl w:val="59ADCABA"/>
    <w:lvl w:ilvl="0" w:tentative="0">
      <w:start w:val="1"/>
      <w:numFmt w:val="decimal"/>
      <w:pStyle w:val="117"/>
      <w:lvlText w:val="%1."/>
      <w:lvlJc w:val="left"/>
      <w:pPr>
        <w:tabs>
          <w:tab w:val="left" w:pos="0"/>
        </w:tabs>
        <w:ind w:left="360" w:hanging="360"/>
      </w:pPr>
    </w:lvl>
    <w:lvl w:ilvl="1" w:tentative="0">
      <w:start w:val="1"/>
      <w:numFmt w:val="decimal"/>
      <w:lvlText w:val="%1.%2."/>
      <w:lvlJc w:val="left"/>
      <w:pPr>
        <w:tabs>
          <w:tab w:val="left" w:pos="0"/>
        </w:tabs>
        <w:ind w:left="1850" w:hanging="432"/>
      </w:pPr>
      <w:rPr>
        <w:rFonts w:hint="default"/>
        <w:i w:val="0"/>
        <w:iCs w:val="0"/>
        <w:color w:val="auto"/>
        <w:sz w:val="24"/>
        <w:szCs w:val="24"/>
      </w:rPr>
    </w:lvl>
    <w:lvl w:ilvl="2" w:tentative="0">
      <w:start w:val="1"/>
      <w:numFmt w:val="decimal"/>
      <w:lvlText w:val="%1.%2.%3."/>
      <w:lvlJc w:val="left"/>
      <w:pPr>
        <w:tabs>
          <w:tab w:val="left" w:pos="0"/>
        </w:tabs>
        <w:ind w:left="1072" w:hanging="504"/>
      </w:pPr>
      <w:rPr>
        <w:rFonts w:hint="default"/>
        <w:i w:val="0"/>
        <w:iCs w:val="0"/>
        <w:color w:val="auto"/>
        <w:sz w:val="24"/>
        <w:szCs w:val="24"/>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17">
    <w:nsid w:val="5BD3A589"/>
    <w:multiLevelType w:val="singleLevel"/>
    <w:tmpl w:val="5BD3A58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8">
    <w:nsid w:val="60C973E3"/>
    <w:multiLevelType w:val="multilevel"/>
    <w:tmpl w:val="60C973E3"/>
    <w:lvl w:ilvl="0" w:tentative="0">
      <w:start w:val="3"/>
      <w:numFmt w:val="decimal"/>
      <w:lvlText w:val="%1."/>
      <w:lvlJc w:val="left"/>
      <w:pPr>
        <w:tabs>
          <w:tab w:val="left" w:pos="0"/>
        </w:tabs>
        <w:ind w:left="585" w:hanging="585"/>
      </w:pPr>
      <w:rPr>
        <w:rFonts w:hint="default"/>
        <w:b/>
        <w:bCs/>
      </w:rPr>
    </w:lvl>
    <w:lvl w:ilvl="1" w:tentative="0">
      <w:start w:val="2"/>
      <w:numFmt w:val="decimal"/>
      <w:lvlText w:val="%1.%2."/>
      <w:lvlJc w:val="left"/>
      <w:pPr>
        <w:tabs>
          <w:tab w:val="left" w:pos="0"/>
        </w:tabs>
        <w:ind w:left="720" w:hanging="720"/>
      </w:pPr>
    </w:lvl>
    <w:lvl w:ilvl="2" w:tentative="0">
      <w:start w:val="2"/>
      <w:numFmt w:val="decimal"/>
      <w:lvlText w:val="%1.%2.%3."/>
      <w:lvlJc w:val="left"/>
      <w:pPr>
        <w:tabs>
          <w:tab w:val="left" w:pos="0"/>
        </w:tabs>
        <w:ind w:left="720" w:hanging="720"/>
      </w:pPr>
    </w:lvl>
    <w:lvl w:ilvl="3" w:tentative="0">
      <w:start w:val="1"/>
      <w:numFmt w:val="decimal"/>
      <w:lvlText w:val="%1.%2.%3.%4."/>
      <w:lvlJc w:val="left"/>
      <w:pPr>
        <w:tabs>
          <w:tab w:val="left" w:pos="0"/>
        </w:tabs>
        <w:ind w:left="1080" w:hanging="1080"/>
      </w:pPr>
    </w:lvl>
    <w:lvl w:ilvl="4" w:tentative="0">
      <w:start w:val="1"/>
      <w:numFmt w:val="decimal"/>
      <w:lvlText w:val="%1.%2.%3.%4.%5."/>
      <w:lvlJc w:val="left"/>
      <w:pPr>
        <w:tabs>
          <w:tab w:val="left" w:pos="0"/>
        </w:tabs>
        <w:ind w:left="1080" w:hanging="1080"/>
      </w:pPr>
    </w:lvl>
    <w:lvl w:ilvl="5" w:tentative="0">
      <w:start w:val="1"/>
      <w:numFmt w:val="decimal"/>
      <w:lvlText w:val="%1.%2.%3.%4.%5.%6."/>
      <w:lvlJc w:val="left"/>
      <w:pPr>
        <w:tabs>
          <w:tab w:val="left" w:pos="0"/>
        </w:tabs>
        <w:ind w:left="1440" w:hanging="1440"/>
      </w:pPr>
    </w:lvl>
    <w:lvl w:ilvl="6" w:tentative="0">
      <w:start w:val="1"/>
      <w:numFmt w:val="decimal"/>
      <w:lvlText w:val="%1.%2.%3.%4.%5.%6.%7."/>
      <w:lvlJc w:val="left"/>
      <w:pPr>
        <w:tabs>
          <w:tab w:val="left" w:pos="0"/>
        </w:tabs>
        <w:ind w:left="1440" w:hanging="1440"/>
      </w:pPr>
    </w:lvl>
    <w:lvl w:ilvl="7" w:tentative="0">
      <w:start w:val="1"/>
      <w:numFmt w:val="decimal"/>
      <w:lvlText w:val="%1.%2.%3.%4.%5.%6.%7.%8."/>
      <w:lvlJc w:val="left"/>
      <w:pPr>
        <w:tabs>
          <w:tab w:val="left" w:pos="0"/>
        </w:tabs>
        <w:ind w:left="1800" w:hanging="1800"/>
      </w:pPr>
    </w:lvl>
    <w:lvl w:ilvl="8" w:tentative="0">
      <w:start w:val="1"/>
      <w:numFmt w:val="decimal"/>
      <w:lvlText w:val="%1.%2.%3.%4.%5.%6.%7.%8.%9."/>
      <w:lvlJc w:val="left"/>
      <w:pPr>
        <w:tabs>
          <w:tab w:val="left" w:pos="0"/>
        </w:tabs>
        <w:ind w:left="2160" w:hanging="2160"/>
      </w:pPr>
    </w:lvl>
  </w:abstractNum>
  <w:num w:numId="1">
    <w:abstractNumId w:val="9"/>
  </w:num>
  <w:num w:numId="2">
    <w:abstractNumId w:val="3"/>
  </w:num>
  <w:num w:numId="3">
    <w:abstractNumId w:val="1"/>
  </w:num>
  <w:num w:numId="4">
    <w:abstractNumId w:val="16"/>
  </w:num>
  <w:num w:numId="5">
    <w:abstractNumId w:val="0"/>
  </w:num>
  <w:num w:numId="6">
    <w:abstractNumId w:val="10"/>
  </w:num>
  <w:num w:numId="7">
    <w:abstractNumId w:val="12"/>
  </w:num>
  <w:num w:numId="8">
    <w:abstractNumId w:val="5"/>
  </w:num>
  <w:num w:numId="9">
    <w:abstractNumId w:val="14"/>
  </w:num>
  <w:num w:numId="10">
    <w:abstractNumId w:val="8"/>
  </w:num>
  <w:num w:numId="11">
    <w:abstractNumId w:val="17"/>
  </w:num>
  <w:num w:numId="12">
    <w:abstractNumId w:val="4"/>
  </w:num>
  <w:num w:numId="13">
    <w:abstractNumId w:val="13"/>
  </w:num>
  <w:num w:numId="14">
    <w:abstractNumId w:val="2"/>
  </w:num>
  <w:num w:numId="15">
    <w:abstractNumId w:val="11"/>
  </w:num>
  <w:num w:numId="16">
    <w:abstractNumId w:val="18"/>
  </w:num>
  <w:num w:numId="17">
    <w:abstractNumId w:val="6"/>
  </w:num>
  <w:num w:numId="18">
    <w:abstractNumId w:val="7"/>
    <w:lvlOverride w:ilvl="0">
      <w:startOverride w:val="1"/>
    </w:lvlOverride>
  </w:num>
  <w:num w:numId="19">
    <w:abstractNumId w:val="7"/>
  </w:num>
  <w:num w:numId="20">
    <w:abstractNumId w:val="7"/>
    <w:lvlOverride w:ilvl="0">
      <w:startOverride w:val="1"/>
    </w:lvlOverride>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08"/>
  <w:autoHyphenation/>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310BC4"/>
    <w:rsid w:val="003267AA"/>
    <w:rsid w:val="00B014B0"/>
    <w:rsid w:val="00B70E3B"/>
    <w:rsid w:val="00CE7A73"/>
    <w:rsid w:val="00F42E9E"/>
    <w:rsid w:val="00FD5D2C"/>
    <w:rsid w:val="0122753A"/>
    <w:rsid w:val="016112D3"/>
    <w:rsid w:val="01740282"/>
    <w:rsid w:val="019F2FA5"/>
    <w:rsid w:val="01A83C46"/>
    <w:rsid w:val="01C062E2"/>
    <w:rsid w:val="01E811AC"/>
    <w:rsid w:val="01F2588F"/>
    <w:rsid w:val="021951FF"/>
    <w:rsid w:val="021E1686"/>
    <w:rsid w:val="02382230"/>
    <w:rsid w:val="024318C6"/>
    <w:rsid w:val="025F0F7C"/>
    <w:rsid w:val="02927B0A"/>
    <w:rsid w:val="02BC4A08"/>
    <w:rsid w:val="0314671B"/>
    <w:rsid w:val="03364ED1"/>
    <w:rsid w:val="03376BBE"/>
    <w:rsid w:val="03575F0B"/>
    <w:rsid w:val="0375778D"/>
    <w:rsid w:val="0378154F"/>
    <w:rsid w:val="037A22C8"/>
    <w:rsid w:val="038C3C7D"/>
    <w:rsid w:val="039943F6"/>
    <w:rsid w:val="039E087E"/>
    <w:rsid w:val="03D40DAE"/>
    <w:rsid w:val="03DE3866"/>
    <w:rsid w:val="03F97C93"/>
    <w:rsid w:val="040D0CC8"/>
    <w:rsid w:val="0458352F"/>
    <w:rsid w:val="04965593"/>
    <w:rsid w:val="049C7E3A"/>
    <w:rsid w:val="04DA2804"/>
    <w:rsid w:val="04F46C31"/>
    <w:rsid w:val="05336716"/>
    <w:rsid w:val="054A34C3"/>
    <w:rsid w:val="056D77F4"/>
    <w:rsid w:val="058D5B2B"/>
    <w:rsid w:val="05B82C0B"/>
    <w:rsid w:val="05BB2599"/>
    <w:rsid w:val="05C97F0E"/>
    <w:rsid w:val="05D150CD"/>
    <w:rsid w:val="0603020B"/>
    <w:rsid w:val="0633077A"/>
    <w:rsid w:val="06385FC4"/>
    <w:rsid w:val="06631006"/>
    <w:rsid w:val="066B5CCB"/>
    <w:rsid w:val="06A252E6"/>
    <w:rsid w:val="071F2A3E"/>
    <w:rsid w:val="07565116"/>
    <w:rsid w:val="0759609B"/>
    <w:rsid w:val="07602616"/>
    <w:rsid w:val="079E0422"/>
    <w:rsid w:val="07F01A92"/>
    <w:rsid w:val="08487F22"/>
    <w:rsid w:val="08807182"/>
    <w:rsid w:val="08B50556"/>
    <w:rsid w:val="092403CF"/>
    <w:rsid w:val="09444942"/>
    <w:rsid w:val="0947414D"/>
    <w:rsid w:val="094D77D0"/>
    <w:rsid w:val="095813E4"/>
    <w:rsid w:val="0971450C"/>
    <w:rsid w:val="098B72B4"/>
    <w:rsid w:val="09A536E1"/>
    <w:rsid w:val="09BD0D88"/>
    <w:rsid w:val="09C94727"/>
    <w:rsid w:val="09D2336D"/>
    <w:rsid w:val="09F618F4"/>
    <w:rsid w:val="09F65910"/>
    <w:rsid w:val="0A0414FD"/>
    <w:rsid w:val="0A4729AC"/>
    <w:rsid w:val="0A5E313A"/>
    <w:rsid w:val="0A6623DC"/>
    <w:rsid w:val="0A6A4724"/>
    <w:rsid w:val="0A6D56A9"/>
    <w:rsid w:val="0A8E2D3C"/>
    <w:rsid w:val="0AA04BFE"/>
    <w:rsid w:val="0AB66DA2"/>
    <w:rsid w:val="0ACB2AE8"/>
    <w:rsid w:val="0ACC50F7"/>
    <w:rsid w:val="0AEF1365"/>
    <w:rsid w:val="0AF71F51"/>
    <w:rsid w:val="0B191045"/>
    <w:rsid w:val="0B95098E"/>
    <w:rsid w:val="0B973E91"/>
    <w:rsid w:val="0BA27CA4"/>
    <w:rsid w:val="0BAA5E29"/>
    <w:rsid w:val="0BB04286"/>
    <w:rsid w:val="0BB71CA4"/>
    <w:rsid w:val="0BFF3BCD"/>
    <w:rsid w:val="0BFF5B18"/>
    <w:rsid w:val="0C0232D1"/>
    <w:rsid w:val="0C335E5B"/>
    <w:rsid w:val="0C345014"/>
    <w:rsid w:val="0C352A96"/>
    <w:rsid w:val="0C4D013D"/>
    <w:rsid w:val="0C5448E0"/>
    <w:rsid w:val="0CC7302A"/>
    <w:rsid w:val="0CDE78B2"/>
    <w:rsid w:val="0CFB6FDC"/>
    <w:rsid w:val="0CFD32A5"/>
    <w:rsid w:val="0D125A2D"/>
    <w:rsid w:val="0D1D4F92"/>
    <w:rsid w:val="0D3B1FC4"/>
    <w:rsid w:val="0D417BED"/>
    <w:rsid w:val="0DBE4B1B"/>
    <w:rsid w:val="0DCC18B3"/>
    <w:rsid w:val="0DD34156"/>
    <w:rsid w:val="0DE4326B"/>
    <w:rsid w:val="0DF2046D"/>
    <w:rsid w:val="0DF43970"/>
    <w:rsid w:val="0E026509"/>
    <w:rsid w:val="0E132027"/>
    <w:rsid w:val="0E4E5304"/>
    <w:rsid w:val="0E4F2D85"/>
    <w:rsid w:val="0E531F96"/>
    <w:rsid w:val="0E6B26B6"/>
    <w:rsid w:val="0E7A4ECE"/>
    <w:rsid w:val="0EA82E26"/>
    <w:rsid w:val="0EE13979"/>
    <w:rsid w:val="0F013810"/>
    <w:rsid w:val="0F0A045B"/>
    <w:rsid w:val="0F46267B"/>
    <w:rsid w:val="0F6A47D7"/>
    <w:rsid w:val="0F986DD1"/>
    <w:rsid w:val="0F9B386C"/>
    <w:rsid w:val="0FB11428"/>
    <w:rsid w:val="0FE01E6F"/>
    <w:rsid w:val="10063951"/>
    <w:rsid w:val="10521CAA"/>
    <w:rsid w:val="10952898"/>
    <w:rsid w:val="10FD2F1B"/>
    <w:rsid w:val="110A4283"/>
    <w:rsid w:val="110E070B"/>
    <w:rsid w:val="11200897"/>
    <w:rsid w:val="117A6E0A"/>
    <w:rsid w:val="11947DF4"/>
    <w:rsid w:val="11B91390"/>
    <w:rsid w:val="11BD4DC1"/>
    <w:rsid w:val="11CA224D"/>
    <w:rsid w:val="11CB7E1B"/>
    <w:rsid w:val="11CE1A42"/>
    <w:rsid w:val="11D1624A"/>
    <w:rsid w:val="11D20449"/>
    <w:rsid w:val="11DB7E54"/>
    <w:rsid w:val="11E32BE3"/>
    <w:rsid w:val="11EF79F9"/>
    <w:rsid w:val="12080923"/>
    <w:rsid w:val="126504B2"/>
    <w:rsid w:val="127F50E9"/>
    <w:rsid w:val="12865D59"/>
    <w:rsid w:val="1295180B"/>
    <w:rsid w:val="12D64864"/>
    <w:rsid w:val="12E60311"/>
    <w:rsid w:val="12FD550C"/>
    <w:rsid w:val="130152C1"/>
    <w:rsid w:val="130D01D0"/>
    <w:rsid w:val="131577DB"/>
    <w:rsid w:val="13167163"/>
    <w:rsid w:val="134203FD"/>
    <w:rsid w:val="13422BBC"/>
    <w:rsid w:val="134A7AD3"/>
    <w:rsid w:val="136063AE"/>
    <w:rsid w:val="13676411"/>
    <w:rsid w:val="13877224"/>
    <w:rsid w:val="13B6545D"/>
    <w:rsid w:val="13B9011A"/>
    <w:rsid w:val="1469268B"/>
    <w:rsid w:val="14C4192D"/>
    <w:rsid w:val="14C95F28"/>
    <w:rsid w:val="14F13869"/>
    <w:rsid w:val="14FB4178"/>
    <w:rsid w:val="15000600"/>
    <w:rsid w:val="151B6C2C"/>
    <w:rsid w:val="153001A0"/>
    <w:rsid w:val="153D5EE7"/>
    <w:rsid w:val="15786FC5"/>
    <w:rsid w:val="15C00A3E"/>
    <w:rsid w:val="15CF79D4"/>
    <w:rsid w:val="161A4EB4"/>
    <w:rsid w:val="161E2FD6"/>
    <w:rsid w:val="16252961"/>
    <w:rsid w:val="163F0F8C"/>
    <w:rsid w:val="16550F32"/>
    <w:rsid w:val="16A135AF"/>
    <w:rsid w:val="16FF5B47"/>
    <w:rsid w:val="171F05FA"/>
    <w:rsid w:val="17581A59"/>
    <w:rsid w:val="176B2384"/>
    <w:rsid w:val="17795811"/>
    <w:rsid w:val="177D4217"/>
    <w:rsid w:val="1783596C"/>
    <w:rsid w:val="17AA5FE0"/>
    <w:rsid w:val="17BF1DD3"/>
    <w:rsid w:val="17CF567C"/>
    <w:rsid w:val="18152551"/>
    <w:rsid w:val="18403F55"/>
    <w:rsid w:val="184D2F45"/>
    <w:rsid w:val="185A0382"/>
    <w:rsid w:val="185F480A"/>
    <w:rsid w:val="18896174"/>
    <w:rsid w:val="18997D24"/>
    <w:rsid w:val="18D347C9"/>
    <w:rsid w:val="194F7996"/>
    <w:rsid w:val="19732658"/>
    <w:rsid w:val="19770B5E"/>
    <w:rsid w:val="198125D9"/>
    <w:rsid w:val="19957067"/>
    <w:rsid w:val="1998135D"/>
    <w:rsid w:val="19A02C1A"/>
    <w:rsid w:val="19AE23F2"/>
    <w:rsid w:val="19CF7EC7"/>
    <w:rsid w:val="19E6338C"/>
    <w:rsid w:val="1A0C35CC"/>
    <w:rsid w:val="1A101FD2"/>
    <w:rsid w:val="1A1815DD"/>
    <w:rsid w:val="1A7828FB"/>
    <w:rsid w:val="1A870FD8"/>
    <w:rsid w:val="1ABE5407"/>
    <w:rsid w:val="1AE24529"/>
    <w:rsid w:val="1B1A46CC"/>
    <w:rsid w:val="1B3D45B5"/>
    <w:rsid w:val="1B6C7B98"/>
    <w:rsid w:val="1B7B3A5E"/>
    <w:rsid w:val="1BB36E00"/>
    <w:rsid w:val="1C0305D8"/>
    <w:rsid w:val="1C1A7800"/>
    <w:rsid w:val="1C4A5188"/>
    <w:rsid w:val="1C7A3345"/>
    <w:rsid w:val="1C7B4336"/>
    <w:rsid w:val="1C820752"/>
    <w:rsid w:val="1CDF0539"/>
    <w:rsid w:val="1CFE5B1D"/>
    <w:rsid w:val="1D024523"/>
    <w:rsid w:val="1D3C6C87"/>
    <w:rsid w:val="1D3D473F"/>
    <w:rsid w:val="1D48051B"/>
    <w:rsid w:val="1D7248EE"/>
    <w:rsid w:val="1D962818"/>
    <w:rsid w:val="1D9825E2"/>
    <w:rsid w:val="1DB83859"/>
    <w:rsid w:val="1E0127D4"/>
    <w:rsid w:val="1E013A44"/>
    <w:rsid w:val="1E271517"/>
    <w:rsid w:val="1E934E45"/>
    <w:rsid w:val="1E935B44"/>
    <w:rsid w:val="1EAA315C"/>
    <w:rsid w:val="1EC91910"/>
    <w:rsid w:val="1EE76CC2"/>
    <w:rsid w:val="1F0718A6"/>
    <w:rsid w:val="1F192994"/>
    <w:rsid w:val="1F1B66BE"/>
    <w:rsid w:val="1F2F40F4"/>
    <w:rsid w:val="1F3A2EC9"/>
    <w:rsid w:val="1F46515E"/>
    <w:rsid w:val="1F5A11FF"/>
    <w:rsid w:val="1F694C9C"/>
    <w:rsid w:val="1F6C1995"/>
    <w:rsid w:val="1F7D4C37"/>
    <w:rsid w:val="1F813A12"/>
    <w:rsid w:val="1F851005"/>
    <w:rsid w:val="1F96342A"/>
    <w:rsid w:val="1FBA28A0"/>
    <w:rsid w:val="1FE33A99"/>
    <w:rsid w:val="1FEB23B6"/>
    <w:rsid w:val="204D54F7"/>
    <w:rsid w:val="205E0FD1"/>
    <w:rsid w:val="206261AF"/>
    <w:rsid w:val="20754406"/>
    <w:rsid w:val="21315582"/>
    <w:rsid w:val="21955962"/>
    <w:rsid w:val="21A26B3B"/>
    <w:rsid w:val="21BE719F"/>
    <w:rsid w:val="221234C5"/>
    <w:rsid w:val="222D4521"/>
    <w:rsid w:val="225C2E06"/>
    <w:rsid w:val="22643B2A"/>
    <w:rsid w:val="2278111D"/>
    <w:rsid w:val="22EA122E"/>
    <w:rsid w:val="22F213C1"/>
    <w:rsid w:val="22F76D4C"/>
    <w:rsid w:val="232102B1"/>
    <w:rsid w:val="232C2DD6"/>
    <w:rsid w:val="23730FB4"/>
    <w:rsid w:val="238237CD"/>
    <w:rsid w:val="23B107E7"/>
    <w:rsid w:val="23C64207"/>
    <w:rsid w:val="23F6158E"/>
    <w:rsid w:val="240B1533"/>
    <w:rsid w:val="245F1873"/>
    <w:rsid w:val="24610C3D"/>
    <w:rsid w:val="246F1CE7"/>
    <w:rsid w:val="24B5413C"/>
    <w:rsid w:val="24C279DD"/>
    <w:rsid w:val="24C81D4B"/>
    <w:rsid w:val="24EF58C2"/>
    <w:rsid w:val="250F24A9"/>
    <w:rsid w:val="2543030E"/>
    <w:rsid w:val="254476BC"/>
    <w:rsid w:val="25890B8B"/>
    <w:rsid w:val="25920482"/>
    <w:rsid w:val="259C09C5"/>
    <w:rsid w:val="25AD0C5F"/>
    <w:rsid w:val="25C56306"/>
    <w:rsid w:val="25F85CFF"/>
    <w:rsid w:val="262805A9"/>
    <w:rsid w:val="26630315"/>
    <w:rsid w:val="2676612A"/>
    <w:rsid w:val="268027E7"/>
    <w:rsid w:val="26A420F1"/>
    <w:rsid w:val="26A655F4"/>
    <w:rsid w:val="26AA318D"/>
    <w:rsid w:val="26AE515C"/>
    <w:rsid w:val="26CB5833"/>
    <w:rsid w:val="26D06310"/>
    <w:rsid w:val="27135C28"/>
    <w:rsid w:val="2723416F"/>
    <w:rsid w:val="274E7130"/>
    <w:rsid w:val="275A5721"/>
    <w:rsid w:val="276756B2"/>
    <w:rsid w:val="278C6174"/>
    <w:rsid w:val="279A7186"/>
    <w:rsid w:val="27D72D75"/>
    <w:rsid w:val="27D765EE"/>
    <w:rsid w:val="27F01FBD"/>
    <w:rsid w:val="27F17742"/>
    <w:rsid w:val="27FF01AF"/>
    <w:rsid w:val="282432CE"/>
    <w:rsid w:val="287141A0"/>
    <w:rsid w:val="287E029C"/>
    <w:rsid w:val="288C3296"/>
    <w:rsid w:val="289F0C32"/>
    <w:rsid w:val="289F2778"/>
    <w:rsid w:val="28A94DC4"/>
    <w:rsid w:val="28C6503F"/>
    <w:rsid w:val="28D040CB"/>
    <w:rsid w:val="28F53BBF"/>
    <w:rsid w:val="28F91A39"/>
    <w:rsid w:val="28FC3BD8"/>
    <w:rsid w:val="29277635"/>
    <w:rsid w:val="293C7BB7"/>
    <w:rsid w:val="294C1088"/>
    <w:rsid w:val="29567017"/>
    <w:rsid w:val="297750AE"/>
    <w:rsid w:val="29AD734F"/>
    <w:rsid w:val="29C8521C"/>
    <w:rsid w:val="2A207E29"/>
    <w:rsid w:val="2A282CB7"/>
    <w:rsid w:val="2A2F0444"/>
    <w:rsid w:val="2A2F2642"/>
    <w:rsid w:val="2A4D4B9B"/>
    <w:rsid w:val="2A6B75C1"/>
    <w:rsid w:val="2AA14EFF"/>
    <w:rsid w:val="2AC033DF"/>
    <w:rsid w:val="2AC770A0"/>
    <w:rsid w:val="2AD369D3"/>
    <w:rsid w:val="2AD6555A"/>
    <w:rsid w:val="2AE333EA"/>
    <w:rsid w:val="2B483157"/>
    <w:rsid w:val="2B487332"/>
    <w:rsid w:val="2B491483"/>
    <w:rsid w:val="2B4F3203"/>
    <w:rsid w:val="2B6A6B02"/>
    <w:rsid w:val="2B6E0DD0"/>
    <w:rsid w:val="2BB31DB1"/>
    <w:rsid w:val="2BB4773B"/>
    <w:rsid w:val="2BE61D13"/>
    <w:rsid w:val="2C2661CB"/>
    <w:rsid w:val="2C291503"/>
    <w:rsid w:val="2C80796F"/>
    <w:rsid w:val="2CC50055"/>
    <w:rsid w:val="2CE10CB2"/>
    <w:rsid w:val="2D127B9E"/>
    <w:rsid w:val="2D163191"/>
    <w:rsid w:val="2D1631F0"/>
    <w:rsid w:val="2D1D7812"/>
    <w:rsid w:val="2D244B6B"/>
    <w:rsid w:val="2D7659E3"/>
    <w:rsid w:val="2DB97690"/>
    <w:rsid w:val="2DF055EB"/>
    <w:rsid w:val="2DFA3848"/>
    <w:rsid w:val="2E016B8B"/>
    <w:rsid w:val="2E3005D3"/>
    <w:rsid w:val="2E790108"/>
    <w:rsid w:val="2E906B1C"/>
    <w:rsid w:val="2E9B3506"/>
    <w:rsid w:val="2EA03511"/>
    <w:rsid w:val="2ED410E1"/>
    <w:rsid w:val="2EE707BE"/>
    <w:rsid w:val="2F055134"/>
    <w:rsid w:val="2F4220A5"/>
    <w:rsid w:val="2FA923BE"/>
    <w:rsid w:val="2FCC1679"/>
    <w:rsid w:val="2FEF739A"/>
    <w:rsid w:val="2FF26266"/>
    <w:rsid w:val="30293E79"/>
    <w:rsid w:val="30653DF6"/>
    <w:rsid w:val="3082203F"/>
    <w:rsid w:val="30D10F27"/>
    <w:rsid w:val="30DF0DDF"/>
    <w:rsid w:val="31166AF7"/>
    <w:rsid w:val="319E4DF8"/>
    <w:rsid w:val="31C30E00"/>
    <w:rsid w:val="31DA093E"/>
    <w:rsid w:val="31E22FAC"/>
    <w:rsid w:val="32167F39"/>
    <w:rsid w:val="32223D4C"/>
    <w:rsid w:val="32647198"/>
    <w:rsid w:val="326E63CA"/>
    <w:rsid w:val="32707C56"/>
    <w:rsid w:val="329A5557"/>
    <w:rsid w:val="32A30284"/>
    <w:rsid w:val="32B96B45"/>
    <w:rsid w:val="32BE7FA4"/>
    <w:rsid w:val="32C216D7"/>
    <w:rsid w:val="32F73E58"/>
    <w:rsid w:val="33002134"/>
    <w:rsid w:val="33630F14"/>
    <w:rsid w:val="33DA309D"/>
    <w:rsid w:val="347F4EB0"/>
    <w:rsid w:val="34BE4995"/>
    <w:rsid w:val="34D039B6"/>
    <w:rsid w:val="34D11437"/>
    <w:rsid w:val="34D73EF4"/>
    <w:rsid w:val="355D5F5D"/>
    <w:rsid w:val="359D4003"/>
    <w:rsid w:val="35B30926"/>
    <w:rsid w:val="35B31A2A"/>
    <w:rsid w:val="35B41FED"/>
    <w:rsid w:val="35B55A68"/>
    <w:rsid w:val="35BA5B31"/>
    <w:rsid w:val="362D2FD7"/>
    <w:rsid w:val="363122F8"/>
    <w:rsid w:val="3665184D"/>
    <w:rsid w:val="366849D0"/>
    <w:rsid w:val="36A04190"/>
    <w:rsid w:val="36A50B96"/>
    <w:rsid w:val="36CB1B89"/>
    <w:rsid w:val="36D80507"/>
    <w:rsid w:val="36EE26AB"/>
    <w:rsid w:val="37027A95"/>
    <w:rsid w:val="37171F87"/>
    <w:rsid w:val="37265299"/>
    <w:rsid w:val="37284E0F"/>
    <w:rsid w:val="37511A56"/>
    <w:rsid w:val="375D55C0"/>
    <w:rsid w:val="379F24CF"/>
    <w:rsid w:val="37AF056B"/>
    <w:rsid w:val="37C95891"/>
    <w:rsid w:val="37CD0078"/>
    <w:rsid w:val="37F0210B"/>
    <w:rsid w:val="38184717"/>
    <w:rsid w:val="382C5258"/>
    <w:rsid w:val="386244A0"/>
    <w:rsid w:val="38631313"/>
    <w:rsid w:val="3868579B"/>
    <w:rsid w:val="38737A51"/>
    <w:rsid w:val="3876776F"/>
    <w:rsid w:val="389804E8"/>
    <w:rsid w:val="38A357DD"/>
    <w:rsid w:val="38AD04F6"/>
    <w:rsid w:val="38BF2926"/>
    <w:rsid w:val="38DE53D9"/>
    <w:rsid w:val="3917772D"/>
    <w:rsid w:val="396159B3"/>
    <w:rsid w:val="396778BC"/>
    <w:rsid w:val="3978512A"/>
    <w:rsid w:val="398E1CFA"/>
    <w:rsid w:val="39A16D33"/>
    <w:rsid w:val="39D53019"/>
    <w:rsid w:val="39F17820"/>
    <w:rsid w:val="39FC10C5"/>
    <w:rsid w:val="39FC6B3C"/>
    <w:rsid w:val="3A307305"/>
    <w:rsid w:val="3A564FC6"/>
    <w:rsid w:val="3A5F45D1"/>
    <w:rsid w:val="3AB30274"/>
    <w:rsid w:val="3ABD5C6F"/>
    <w:rsid w:val="3AF86D4E"/>
    <w:rsid w:val="3B293089"/>
    <w:rsid w:val="3B4C67D8"/>
    <w:rsid w:val="3B4E0552"/>
    <w:rsid w:val="3B5073DC"/>
    <w:rsid w:val="3B52126A"/>
    <w:rsid w:val="3B6B7446"/>
    <w:rsid w:val="3B6F18CE"/>
    <w:rsid w:val="3B86312F"/>
    <w:rsid w:val="3BAF6CDF"/>
    <w:rsid w:val="3BF633ED"/>
    <w:rsid w:val="3C2350C4"/>
    <w:rsid w:val="3C2564BB"/>
    <w:rsid w:val="3C3E1B5C"/>
    <w:rsid w:val="3C5376C9"/>
    <w:rsid w:val="3C5D73DF"/>
    <w:rsid w:val="3C9A3EFB"/>
    <w:rsid w:val="3CEC4BFF"/>
    <w:rsid w:val="3D0A7A32"/>
    <w:rsid w:val="3D313175"/>
    <w:rsid w:val="3D5001A7"/>
    <w:rsid w:val="3D52271E"/>
    <w:rsid w:val="3D7725E5"/>
    <w:rsid w:val="3D9857FE"/>
    <w:rsid w:val="3DC16994"/>
    <w:rsid w:val="3DE81AF2"/>
    <w:rsid w:val="3E027FCA"/>
    <w:rsid w:val="3E0D3DDD"/>
    <w:rsid w:val="3E500891"/>
    <w:rsid w:val="3E546750"/>
    <w:rsid w:val="3E6447EC"/>
    <w:rsid w:val="3E6B4F1A"/>
    <w:rsid w:val="3F0065A8"/>
    <w:rsid w:val="3F0E1401"/>
    <w:rsid w:val="3F0F346C"/>
    <w:rsid w:val="3F463CE0"/>
    <w:rsid w:val="3F5575F7"/>
    <w:rsid w:val="3F5B1501"/>
    <w:rsid w:val="3F61176B"/>
    <w:rsid w:val="3F822682"/>
    <w:rsid w:val="3FAC7381"/>
    <w:rsid w:val="3FB62B14"/>
    <w:rsid w:val="3FE63663"/>
    <w:rsid w:val="40142EAD"/>
    <w:rsid w:val="4015092F"/>
    <w:rsid w:val="401E37BD"/>
    <w:rsid w:val="40206FB8"/>
    <w:rsid w:val="40404C1C"/>
    <w:rsid w:val="407D392A"/>
    <w:rsid w:val="40946C7F"/>
    <w:rsid w:val="40995904"/>
    <w:rsid w:val="40AA46A6"/>
    <w:rsid w:val="40B60F2B"/>
    <w:rsid w:val="40D27DE8"/>
    <w:rsid w:val="40F97CA8"/>
    <w:rsid w:val="410579B3"/>
    <w:rsid w:val="41131F0E"/>
    <w:rsid w:val="41140AD6"/>
    <w:rsid w:val="412E692E"/>
    <w:rsid w:val="41651556"/>
    <w:rsid w:val="417B6F7C"/>
    <w:rsid w:val="41833AD0"/>
    <w:rsid w:val="41973029"/>
    <w:rsid w:val="41A63644"/>
    <w:rsid w:val="41BB09BC"/>
    <w:rsid w:val="41D323B8"/>
    <w:rsid w:val="41E347D8"/>
    <w:rsid w:val="4204521B"/>
    <w:rsid w:val="420A7AE5"/>
    <w:rsid w:val="42232C0D"/>
    <w:rsid w:val="42534A61"/>
    <w:rsid w:val="42536FE0"/>
    <w:rsid w:val="429E5DDA"/>
    <w:rsid w:val="42D647FD"/>
    <w:rsid w:val="42DA01BE"/>
    <w:rsid w:val="42EB2656"/>
    <w:rsid w:val="42EC00D8"/>
    <w:rsid w:val="42F4745D"/>
    <w:rsid w:val="430B2FDB"/>
    <w:rsid w:val="43170555"/>
    <w:rsid w:val="43217DCB"/>
    <w:rsid w:val="432263B4"/>
    <w:rsid w:val="43315E48"/>
    <w:rsid w:val="438837D9"/>
    <w:rsid w:val="43AC30FF"/>
    <w:rsid w:val="43AF624A"/>
    <w:rsid w:val="44173A10"/>
    <w:rsid w:val="441E50BC"/>
    <w:rsid w:val="443F7A85"/>
    <w:rsid w:val="44780111"/>
    <w:rsid w:val="448734FB"/>
    <w:rsid w:val="448736FC"/>
    <w:rsid w:val="44A654DA"/>
    <w:rsid w:val="44D35D7A"/>
    <w:rsid w:val="44D95D6C"/>
    <w:rsid w:val="44EA599F"/>
    <w:rsid w:val="44EF65A4"/>
    <w:rsid w:val="44F075E7"/>
    <w:rsid w:val="44F86262"/>
    <w:rsid w:val="450137F0"/>
    <w:rsid w:val="451B19F1"/>
    <w:rsid w:val="451B69DA"/>
    <w:rsid w:val="45321568"/>
    <w:rsid w:val="45333815"/>
    <w:rsid w:val="453F7628"/>
    <w:rsid w:val="455A36D4"/>
    <w:rsid w:val="458967A2"/>
    <w:rsid w:val="45B5636D"/>
    <w:rsid w:val="45B872F1"/>
    <w:rsid w:val="45C4165F"/>
    <w:rsid w:val="45FD6761"/>
    <w:rsid w:val="4622466A"/>
    <w:rsid w:val="46240B9F"/>
    <w:rsid w:val="463A6B14"/>
    <w:rsid w:val="46565EF6"/>
    <w:rsid w:val="466E359D"/>
    <w:rsid w:val="46752F28"/>
    <w:rsid w:val="4679054D"/>
    <w:rsid w:val="46922E67"/>
    <w:rsid w:val="46B226AF"/>
    <w:rsid w:val="46B22C0C"/>
    <w:rsid w:val="46F843FA"/>
    <w:rsid w:val="46F91E7C"/>
    <w:rsid w:val="4703600F"/>
    <w:rsid w:val="474D5189"/>
    <w:rsid w:val="47974304"/>
    <w:rsid w:val="479F390E"/>
    <w:rsid w:val="47B04021"/>
    <w:rsid w:val="47CF412C"/>
    <w:rsid w:val="47E242F7"/>
    <w:rsid w:val="47F40E1A"/>
    <w:rsid w:val="483F4238"/>
    <w:rsid w:val="4889130E"/>
    <w:rsid w:val="48B643ED"/>
    <w:rsid w:val="48D33946"/>
    <w:rsid w:val="48E51A27"/>
    <w:rsid w:val="49195E87"/>
    <w:rsid w:val="494557C4"/>
    <w:rsid w:val="49516B58"/>
    <w:rsid w:val="499A27D0"/>
    <w:rsid w:val="49A14F5D"/>
    <w:rsid w:val="49A94FE8"/>
    <w:rsid w:val="49DA2F55"/>
    <w:rsid w:val="49F8316C"/>
    <w:rsid w:val="4A0343FD"/>
    <w:rsid w:val="4A4200BE"/>
    <w:rsid w:val="4A52417C"/>
    <w:rsid w:val="4A556883"/>
    <w:rsid w:val="4A952667"/>
    <w:rsid w:val="4AB75F28"/>
    <w:rsid w:val="4AFA3691"/>
    <w:rsid w:val="4B1F004D"/>
    <w:rsid w:val="4B3E001A"/>
    <w:rsid w:val="4B400582"/>
    <w:rsid w:val="4B614E18"/>
    <w:rsid w:val="4B8D5369"/>
    <w:rsid w:val="4BA13E68"/>
    <w:rsid w:val="4BBB777F"/>
    <w:rsid w:val="4BBD3053"/>
    <w:rsid w:val="4BC07C8E"/>
    <w:rsid w:val="4BC352D8"/>
    <w:rsid w:val="4BDD08B6"/>
    <w:rsid w:val="4BF95612"/>
    <w:rsid w:val="4C190838"/>
    <w:rsid w:val="4C1B6FEB"/>
    <w:rsid w:val="4C3B4B33"/>
    <w:rsid w:val="4C7166F5"/>
    <w:rsid w:val="4CAE634F"/>
    <w:rsid w:val="4CBF69F7"/>
    <w:rsid w:val="4CF3615A"/>
    <w:rsid w:val="4D66378A"/>
    <w:rsid w:val="4D6B3E06"/>
    <w:rsid w:val="4D7C6DE8"/>
    <w:rsid w:val="4D951904"/>
    <w:rsid w:val="4D954108"/>
    <w:rsid w:val="4DA60CF0"/>
    <w:rsid w:val="4DBF4CBE"/>
    <w:rsid w:val="4DF6495C"/>
    <w:rsid w:val="4E247602"/>
    <w:rsid w:val="4E325D49"/>
    <w:rsid w:val="4E7055D2"/>
    <w:rsid w:val="4E7613C9"/>
    <w:rsid w:val="4EAF1A9A"/>
    <w:rsid w:val="4ED97DE9"/>
    <w:rsid w:val="4F020FAD"/>
    <w:rsid w:val="4F046A28"/>
    <w:rsid w:val="4F0C515E"/>
    <w:rsid w:val="4F1A6654"/>
    <w:rsid w:val="4F4A13A1"/>
    <w:rsid w:val="4F4B26A6"/>
    <w:rsid w:val="4F881587"/>
    <w:rsid w:val="4F8E742F"/>
    <w:rsid w:val="4F9B372A"/>
    <w:rsid w:val="4FA52FF8"/>
    <w:rsid w:val="4FBA38BB"/>
    <w:rsid w:val="4FC141FB"/>
    <w:rsid w:val="4FDE3EF0"/>
    <w:rsid w:val="4FF0751A"/>
    <w:rsid w:val="4FF64E19"/>
    <w:rsid w:val="502F619C"/>
    <w:rsid w:val="50456141"/>
    <w:rsid w:val="505066D1"/>
    <w:rsid w:val="50552B58"/>
    <w:rsid w:val="51023F76"/>
    <w:rsid w:val="51203526"/>
    <w:rsid w:val="514D52EF"/>
    <w:rsid w:val="51543692"/>
    <w:rsid w:val="518D725A"/>
    <w:rsid w:val="519B2E6F"/>
    <w:rsid w:val="51B76F1C"/>
    <w:rsid w:val="51DA410D"/>
    <w:rsid w:val="520619D1"/>
    <w:rsid w:val="52143C31"/>
    <w:rsid w:val="52520C56"/>
    <w:rsid w:val="5259022F"/>
    <w:rsid w:val="525B65CE"/>
    <w:rsid w:val="526E48F5"/>
    <w:rsid w:val="52E30584"/>
    <w:rsid w:val="53256D10"/>
    <w:rsid w:val="53493E30"/>
    <w:rsid w:val="5350029D"/>
    <w:rsid w:val="53A84E24"/>
    <w:rsid w:val="53C02B75"/>
    <w:rsid w:val="544A4CD7"/>
    <w:rsid w:val="54520FB6"/>
    <w:rsid w:val="545C0475"/>
    <w:rsid w:val="54626883"/>
    <w:rsid w:val="546C6511"/>
    <w:rsid w:val="54811A42"/>
    <w:rsid w:val="548C0FC4"/>
    <w:rsid w:val="549518D3"/>
    <w:rsid w:val="54A54CF4"/>
    <w:rsid w:val="54B00AA2"/>
    <w:rsid w:val="54F47340"/>
    <w:rsid w:val="54FA3B48"/>
    <w:rsid w:val="55641FE1"/>
    <w:rsid w:val="55974979"/>
    <w:rsid w:val="55AC361A"/>
    <w:rsid w:val="55D807F3"/>
    <w:rsid w:val="56024028"/>
    <w:rsid w:val="56412C14"/>
    <w:rsid w:val="56A2193A"/>
    <w:rsid w:val="56F209C0"/>
    <w:rsid w:val="56F65BBA"/>
    <w:rsid w:val="570C5B60"/>
    <w:rsid w:val="571D29A6"/>
    <w:rsid w:val="574172D5"/>
    <w:rsid w:val="57522A51"/>
    <w:rsid w:val="57995BE5"/>
    <w:rsid w:val="57A156AE"/>
    <w:rsid w:val="57A33754"/>
    <w:rsid w:val="57B936FA"/>
    <w:rsid w:val="57D31F46"/>
    <w:rsid w:val="57F05DD2"/>
    <w:rsid w:val="57FC7666"/>
    <w:rsid w:val="58125365"/>
    <w:rsid w:val="5813728B"/>
    <w:rsid w:val="584C06EA"/>
    <w:rsid w:val="5874602B"/>
    <w:rsid w:val="589B7E1A"/>
    <w:rsid w:val="58D647C0"/>
    <w:rsid w:val="591E0831"/>
    <w:rsid w:val="592119C7"/>
    <w:rsid w:val="594B060D"/>
    <w:rsid w:val="594C66EB"/>
    <w:rsid w:val="597B512C"/>
    <w:rsid w:val="599A6DD6"/>
    <w:rsid w:val="59AE2C88"/>
    <w:rsid w:val="59E176BE"/>
    <w:rsid w:val="59EC0196"/>
    <w:rsid w:val="59EE4066"/>
    <w:rsid w:val="5A054FB4"/>
    <w:rsid w:val="5A463D28"/>
    <w:rsid w:val="5AC445F6"/>
    <w:rsid w:val="5ADE0C81"/>
    <w:rsid w:val="5B0E3771"/>
    <w:rsid w:val="5B700E3E"/>
    <w:rsid w:val="5B8C73EB"/>
    <w:rsid w:val="5BA43835"/>
    <w:rsid w:val="5BD844BF"/>
    <w:rsid w:val="5BDE63C8"/>
    <w:rsid w:val="5BEB04EE"/>
    <w:rsid w:val="5BF96BF2"/>
    <w:rsid w:val="5C5F1E19"/>
    <w:rsid w:val="5CD36284"/>
    <w:rsid w:val="5CE22E6C"/>
    <w:rsid w:val="5CE458F6"/>
    <w:rsid w:val="5D392E01"/>
    <w:rsid w:val="5D466894"/>
    <w:rsid w:val="5D6721D3"/>
    <w:rsid w:val="5D730EDB"/>
    <w:rsid w:val="5D832BF3"/>
    <w:rsid w:val="5DFA1BBA"/>
    <w:rsid w:val="5DFB5155"/>
    <w:rsid w:val="5E001545"/>
    <w:rsid w:val="5E0A1E55"/>
    <w:rsid w:val="5E14712E"/>
    <w:rsid w:val="5E3A6227"/>
    <w:rsid w:val="5E797F0A"/>
    <w:rsid w:val="5E7D2755"/>
    <w:rsid w:val="5E83629B"/>
    <w:rsid w:val="5E883A63"/>
    <w:rsid w:val="5EB05E66"/>
    <w:rsid w:val="5EB47E06"/>
    <w:rsid w:val="5EB97DCB"/>
    <w:rsid w:val="5ED13E1C"/>
    <w:rsid w:val="5EE864D3"/>
    <w:rsid w:val="5EF06C4F"/>
    <w:rsid w:val="5F053B7E"/>
    <w:rsid w:val="5F243C26"/>
    <w:rsid w:val="5F295B30"/>
    <w:rsid w:val="5F5D7E41"/>
    <w:rsid w:val="5F6D1A9C"/>
    <w:rsid w:val="5F6F0822"/>
    <w:rsid w:val="5F8935CB"/>
    <w:rsid w:val="5FEC1CFE"/>
    <w:rsid w:val="601644B3"/>
    <w:rsid w:val="60212844"/>
    <w:rsid w:val="6056529D"/>
    <w:rsid w:val="60657AB6"/>
    <w:rsid w:val="609D7C10"/>
    <w:rsid w:val="609F6996"/>
    <w:rsid w:val="60AD5CAC"/>
    <w:rsid w:val="60DF730C"/>
    <w:rsid w:val="60F1769A"/>
    <w:rsid w:val="61463634"/>
    <w:rsid w:val="616A18E2"/>
    <w:rsid w:val="616F37EB"/>
    <w:rsid w:val="618A738C"/>
    <w:rsid w:val="61D36E41"/>
    <w:rsid w:val="61DB091C"/>
    <w:rsid w:val="61E7692D"/>
    <w:rsid w:val="61F3273F"/>
    <w:rsid w:val="623D18BA"/>
    <w:rsid w:val="625212A3"/>
    <w:rsid w:val="626207F5"/>
    <w:rsid w:val="627D4233"/>
    <w:rsid w:val="629C176F"/>
    <w:rsid w:val="62C872A0"/>
    <w:rsid w:val="62D30A60"/>
    <w:rsid w:val="62EE3C5C"/>
    <w:rsid w:val="6317689C"/>
    <w:rsid w:val="633F11E7"/>
    <w:rsid w:val="633F34B1"/>
    <w:rsid w:val="63632844"/>
    <w:rsid w:val="63924F2C"/>
    <w:rsid w:val="63FF4D9E"/>
    <w:rsid w:val="640569BA"/>
    <w:rsid w:val="640E1B35"/>
    <w:rsid w:val="643B38FE"/>
    <w:rsid w:val="643F5B88"/>
    <w:rsid w:val="6444420E"/>
    <w:rsid w:val="649B2A1E"/>
    <w:rsid w:val="649F5712"/>
    <w:rsid w:val="64CD477E"/>
    <w:rsid w:val="64D07675"/>
    <w:rsid w:val="65026507"/>
    <w:rsid w:val="650B3FD7"/>
    <w:rsid w:val="652512FD"/>
    <w:rsid w:val="657700A1"/>
    <w:rsid w:val="657C502B"/>
    <w:rsid w:val="658201F7"/>
    <w:rsid w:val="65B32F98"/>
    <w:rsid w:val="65B456E9"/>
    <w:rsid w:val="65DF5E84"/>
    <w:rsid w:val="65F20A51"/>
    <w:rsid w:val="65FB005C"/>
    <w:rsid w:val="661F281A"/>
    <w:rsid w:val="662856A8"/>
    <w:rsid w:val="662C40AE"/>
    <w:rsid w:val="665B1788"/>
    <w:rsid w:val="66676EF2"/>
    <w:rsid w:val="66975DC9"/>
    <w:rsid w:val="66B64012"/>
    <w:rsid w:val="66F65191"/>
    <w:rsid w:val="67141E2D"/>
    <w:rsid w:val="67263EE0"/>
    <w:rsid w:val="672A5D0A"/>
    <w:rsid w:val="67430D38"/>
    <w:rsid w:val="6777084D"/>
    <w:rsid w:val="6789413B"/>
    <w:rsid w:val="679C7788"/>
    <w:rsid w:val="67D01E96"/>
    <w:rsid w:val="67DB63DB"/>
    <w:rsid w:val="67FA33A5"/>
    <w:rsid w:val="680D123E"/>
    <w:rsid w:val="68180FEA"/>
    <w:rsid w:val="68367CAE"/>
    <w:rsid w:val="687F2AFC"/>
    <w:rsid w:val="68976726"/>
    <w:rsid w:val="68A31BBA"/>
    <w:rsid w:val="68AC53C7"/>
    <w:rsid w:val="68B202B8"/>
    <w:rsid w:val="68B5103C"/>
    <w:rsid w:val="68BE6227"/>
    <w:rsid w:val="68C94977"/>
    <w:rsid w:val="69106426"/>
    <w:rsid w:val="691A3C19"/>
    <w:rsid w:val="691C697F"/>
    <w:rsid w:val="6966005C"/>
    <w:rsid w:val="697C221C"/>
    <w:rsid w:val="6986227C"/>
    <w:rsid w:val="69871F82"/>
    <w:rsid w:val="698C5D3A"/>
    <w:rsid w:val="69A51B44"/>
    <w:rsid w:val="69AD626E"/>
    <w:rsid w:val="69F3315F"/>
    <w:rsid w:val="69F875E7"/>
    <w:rsid w:val="6A352CCF"/>
    <w:rsid w:val="6A782837"/>
    <w:rsid w:val="6A7C1DBF"/>
    <w:rsid w:val="6A9B5EF7"/>
    <w:rsid w:val="6AD650E8"/>
    <w:rsid w:val="6AD97F5A"/>
    <w:rsid w:val="6B010F23"/>
    <w:rsid w:val="6B0C74AF"/>
    <w:rsid w:val="6B362C5E"/>
    <w:rsid w:val="6B5B4E75"/>
    <w:rsid w:val="6B857B1E"/>
    <w:rsid w:val="6B9B0D74"/>
    <w:rsid w:val="6BDF5289"/>
    <w:rsid w:val="6BF43BAA"/>
    <w:rsid w:val="6C044137"/>
    <w:rsid w:val="6C2159A8"/>
    <w:rsid w:val="6C392640"/>
    <w:rsid w:val="6C433885"/>
    <w:rsid w:val="6C512C42"/>
    <w:rsid w:val="6C582E82"/>
    <w:rsid w:val="6CB25261"/>
    <w:rsid w:val="6CB72660"/>
    <w:rsid w:val="6CC07DFA"/>
    <w:rsid w:val="6CE91C37"/>
    <w:rsid w:val="6D0D4676"/>
    <w:rsid w:val="6D39529C"/>
    <w:rsid w:val="6D3E06C9"/>
    <w:rsid w:val="6D3F28C7"/>
    <w:rsid w:val="6D4D5460"/>
    <w:rsid w:val="6D565D6F"/>
    <w:rsid w:val="6D865779"/>
    <w:rsid w:val="6D8F7AD1"/>
    <w:rsid w:val="6D9E6164"/>
    <w:rsid w:val="6DB7512F"/>
    <w:rsid w:val="6DDD4D4F"/>
    <w:rsid w:val="6DF1740B"/>
    <w:rsid w:val="6DF576FE"/>
    <w:rsid w:val="6E03390A"/>
    <w:rsid w:val="6E327426"/>
    <w:rsid w:val="6E411855"/>
    <w:rsid w:val="6E66362F"/>
    <w:rsid w:val="6E680B24"/>
    <w:rsid w:val="6E775756"/>
    <w:rsid w:val="6E866461"/>
    <w:rsid w:val="6ED86F36"/>
    <w:rsid w:val="6EF03532"/>
    <w:rsid w:val="6F0B4BCB"/>
    <w:rsid w:val="6F1502CF"/>
    <w:rsid w:val="6F521333"/>
    <w:rsid w:val="6F521367"/>
    <w:rsid w:val="6F8A53B7"/>
    <w:rsid w:val="6F95081D"/>
    <w:rsid w:val="6FCA4273"/>
    <w:rsid w:val="70026C53"/>
    <w:rsid w:val="7051572C"/>
    <w:rsid w:val="70597661"/>
    <w:rsid w:val="7064216F"/>
    <w:rsid w:val="70745C8D"/>
    <w:rsid w:val="707924E2"/>
    <w:rsid w:val="709B394E"/>
    <w:rsid w:val="70A22F79"/>
    <w:rsid w:val="70C66990"/>
    <w:rsid w:val="70D127A3"/>
    <w:rsid w:val="70EC7F1C"/>
    <w:rsid w:val="71213827"/>
    <w:rsid w:val="712C543B"/>
    <w:rsid w:val="71450563"/>
    <w:rsid w:val="71496F6A"/>
    <w:rsid w:val="714B23A3"/>
    <w:rsid w:val="715F110D"/>
    <w:rsid w:val="71866233"/>
    <w:rsid w:val="71AB03D6"/>
    <w:rsid w:val="71BC0001"/>
    <w:rsid w:val="7205731D"/>
    <w:rsid w:val="723A7B77"/>
    <w:rsid w:val="72427182"/>
    <w:rsid w:val="72740C55"/>
    <w:rsid w:val="72771BDA"/>
    <w:rsid w:val="72B2653C"/>
    <w:rsid w:val="72BF4E6F"/>
    <w:rsid w:val="72FD3138"/>
    <w:rsid w:val="732E4472"/>
    <w:rsid w:val="733A1800"/>
    <w:rsid w:val="735018BD"/>
    <w:rsid w:val="736C11ED"/>
    <w:rsid w:val="736F77FC"/>
    <w:rsid w:val="7389747F"/>
    <w:rsid w:val="739A7D73"/>
    <w:rsid w:val="73E47417"/>
    <w:rsid w:val="73F6144E"/>
    <w:rsid w:val="74031361"/>
    <w:rsid w:val="74114BE3"/>
    <w:rsid w:val="743E5457"/>
    <w:rsid w:val="746C550D"/>
    <w:rsid w:val="749444D3"/>
    <w:rsid w:val="74B646D7"/>
    <w:rsid w:val="74BA4724"/>
    <w:rsid w:val="751B7C2F"/>
    <w:rsid w:val="754819F8"/>
    <w:rsid w:val="754A1AA0"/>
    <w:rsid w:val="75D40624"/>
    <w:rsid w:val="75EE7C07"/>
    <w:rsid w:val="76453787"/>
    <w:rsid w:val="76671E50"/>
    <w:rsid w:val="76A36431"/>
    <w:rsid w:val="76B544B4"/>
    <w:rsid w:val="7708668C"/>
    <w:rsid w:val="772D7A86"/>
    <w:rsid w:val="777C7940"/>
    <w:rsid w:val="77AC6C64"/>
    <w:rsid w:val="77AD7F47"/>
    <w:rsid w:val="77C4172C"/>
    <w:rsid w:val="77C63091"/>
    <w:rsid w:val="77DB6CCC"/>
    <w:rsid w:val="77ED76CD"/>
    <w:rsid w:val="780F2C9F"/>
    <w:rsid w:val="78113703"/>
    <w:rsid w:val="784C2F6A"/>
    <w:rsid w:val="785B3584"/>
    <w:rsid w:val="785C1006"/>
    <w:rsid w:val="785C5896"/>
    <w:rsid w:val="78663B14"/>
    <w:rsid w:val="78A10475"/>
    <w:rsid w:val="78A956A3"/>
    <w:rsid w:val="78D50C80"/>
    <w:rsid w:val="78FC1830"/>
    <w:rsid w:val="79390690"/>
    <w:rsid w:val="794E3E11"/>
    <w:rsid w:val="795E651C"/>
    <w:rsid w:val="796108B4"/>
    <w:rsid w:val="7976430C"/>
    <w:rsid w:val="797926D7"/>
    <w:rsid w:val="799D1612"/>
    <w:rsid w:val="79D762F4"/>
    <w:rsid w:val="79E06FC3"/>
    <w:rsid w:val="79E84010"/>
    <w:rsid w:val="79EE75D1"/>
    <w:rsid w:val="79F57AA2"/>
    <w:rsid w:val="79F91D2C"/>
    <w:rsid w:val="7A4B62B3"/>
    <w:rsid w:val="7A527768"/>
    <w:rsid w:val="7A536DFF"/>
    <w:rsid w:val="7A590728"/>
    <w:rsid w:val="7A68455E"/>
    <w:rsid w:val="7A7D4503"/>
    <w:rsid w:val="7A7E30E6"/>
    <w:rsid w:val="7A8556F5"/>
    <w:rsid w:val="7AAC17CF"/>
    <w:rsid w:val="7AC6370D"/>
    <w:rsid w:val="7AD33C0D"/>
    <w:rsid w:val="7AD926AB"/>
    <w:rsid w:val="7B206B20"/>
    <w:rsid w:val="7B286B9A"/>
    <w:rsid w:val="7B2E4327"/>
    <w:rsid w:val="7B3724FD"/>
    <w:rsid w:val="7B3977C3"/>
    <w:rsid w:val="7B3B5BBB"/>
    <w:rsid w:val="7B7C6624"/>
    <w:rsid w:val="7B8D7761"/>
    <w:rsid w:val="7BCA0B9D"/>
    <w:rsid w:val="7BE170DF"/>
    <w:rsid w:val="7BED3460"/>
    <w:rsid w:val="7BEE08FF"/>
    <w:rsid w:val="7BF72207"/>
    <w:rsid w:val="7C057808"/>
    <w:rsid w:val="7C062789"/>
    <w:rsid w:val="7C3776A3"/>
    <w:rsid w:val="7C38005C"/>
    <w:rsid w:val="7C472F0F"/>
    <w:rsid w:val="7C6E4CB3"/>
    <w:rsid w:val="7C73113B"/>
    <w:rsid w:val="7CC20EBA"/>
    <w:rsid w:val="7CF61D6E"/>
    <w:rsid w:val="7D0A4B32"/>
    <w:rsid w:val="7D3768FA"/>
    <w:rsid w:val="7D68574F"/>
    <w:rsid w:val="7D73210D"/>
    <w:rsid w:val="7D796E93"/>
    <w:rsid w:val="7D9C5AA7"/>
    <w:rsid w:val="7DC14660"/>
    <w:rsid w:val="7DD47A7D"/>
    <w:rsid w:val="7E025941"/>
    <w:rsid w:val="7E05195A"/>
    <w:rsid w:val="7E1F6007"/>
    <w:rsid w:val="7E3763BE"/>
    <w:rsid w:val="7E8940A9"/>
    <w:rsid w:val="7E967B3C"/>
    <w:rsid w:val="7EB54B6D"/>
    <w:rsid w:val="7EC17A7C"/>
    <w:rsid w:val="7EC97091"/>
    <w:rsid w:val="7ECF06F7"/>
    <w:rsid w:val="7EE464DD"/>
    <w:rsid w:val="7EF50554"/>
    <w:rsid w:val="7F074977"/>
    <w:rsid w:val="7F155E8B"/>
    <w:rsid w:val="7F1E78CB"/>
    <w:rsid w:val="7F3109B4"/>
    <w:rsid w:val="7F531AB7"/>
    <w:rsid w:val="7F731C6D"/>
    <w:rsid w:val="7F7726AD"/>
    <w:rsid w:val="7F7A3631"/>
    <w:rsid w:val="7FA51C53"/>
    <w:rsid w:val="7FDE4398"/>
  </w:rsids>
  <m:mathPr>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iPriority="9"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0"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List Paragraph"/>
    <w:lsdException w:qFormat="1" w:unhideWhenUsed="0" w:uiPriority="64" w:semiHidden="0" w:name="Quote"/>
  </w:latentStyles>
  <w:style w:type="paragraph" w:default="1" w:styleId="1">
    <w:name w:val="Normal"/>
    <w:qFormat/>
    <w:uiPriority w:val="0"/>
    <w:pPr>
      <w:widowControl/>
      <w:suppressAutoHyphens/>
      <w:bidi w:val="0"/>
      <w:spacing w:before="240" w:after="0" w:line="312" w:lineRule="auto"/>
      <w:jc w:val="left"/>
    </w:pPr>
    <w:rPr>
      <w:rFonts w:ascii="Arial" w:hAnsi="Arial" w:eastAsia="Calibri" w:cs="Times New Roman"/>
      <w:color w:val="auto"/>
      <w:kern w:val="0"/>
      <w:sz w:val="24"/>
      <w:szCs w:val="22"/>
      <w:lang w:val="pt-BR" w:eastAsia="en-US" w:bidi="ar-SA"/>
    </w:rPr>
  </w:style>
  <w:style w:type="paragraph" w:styleId="2">
    <w:name w:val="heading 1"/>
    <w:basedOn w:val="1"/>
    <w:next w:val="1"/>
    <w:qFormat/>
    <w:uiPriority w:val="9"/>
    <w:pPr>
      <w:keepNext/>
      <w:keepLines/>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unhideWhenUsed/>
    <w:qFormat/>
    <w:uiPriority w:val="9"/>
    <w:pPr>
      <w:keepNext/>
      <w:keepLines/>
      <w:spacing w:before="40" w:after="0" w:line="259" w:lineRule="auto"/>
      <w:outlineLvl w:val="1"/>
    </w:pPr>
    <w:rPr>
      <w:rFonts w:ascii="Bookman Old Style" w:hAnsi="Bookman Old Style" w:eastAsiaTheme="majorEastAsia" w:cstheme="majorBidi"/>
      <w:szCs w:val="26"/>
    </w:rPr>
  </w:style>
  <w:style w:type="paragraph" w:styleId="4">
    <w:name w:val="heading 3"/>
    <w:basedOn w:val="1"/>
    <w:next w:val="1"/>
    <w:unhideWhenUsed/>
    <w:qFormat/>
    <w:uiPriority w:val="9"/>
    <w:pPr>
      <w:keepNext/>
      <w:keepLines/>
      <w:spacing w:before="40" w:after="0"/>
      <w:outlineLvl w:val="2"/>
    </w:pPr>
    <w:rPr>
      <w:rFonts w:asciiTheme="majorHAnsi" w:hAnsiTheme="majorHAnsi" w:eastAsiaTheme="majorEastAsia" w:cstheme="majorBidi"/>
      <w:color w:val="203864" w:themeColor="accent1" w:themeShade="80"/>
      <w:szCs w:val="24"/>
    </w:rPr>
  </w:style>
  <w:style w:type="paragraph" w:styleId="5">
    <w:name w:val="heading 4"/>
    <w:basedOn w:val="1"/>
    <w:next w:val="1"/>
    <w:qFormat/>
    <w:uiPriority w:val="0"/>
    <w:pPr>
      <w:keepNext/>
      <w:keepLines/>
      <w:numPr>
        <w:ilvl w:val="3"/>
        <w:numId w:val="1"/>
      </w:numPr>
      <w:suppressAutoHyphens/>
      <w:spacing w:before="40" w:after="0" w:line="280" w:lineRule="atLeast"/>
      <w:jc w:val="both"/>
      <w:outlineLvl w:val="3"/>
    </w:pPr>
    <w:rPr>
      <w:rFonts w:ascii="Calibri Light" w:hAnsi="Calibri Light" w:eastAsia="SimHei" w:cs="SimHei"/>
      <w:i/>
      <w:iCs/>
      <w:color w:val="2E75B5"/>
      <w:szCs w:val="24"/>
      <w:lang w:eastAsia="pt-BR"/>
    </w:rPr>
  </w:style>
  <w:style w:type="paragraph" w:styleId="6">
    <w:name w:val="heading 5"/>
    <w:basedOn w:val="1"/>
    <w:next w:val="1"/>
    <w:qFormat/>
    <w:uiPriority w:val="0"/>
    <w:pPr>
      <w:keepNext/>
      <w:keepLines/>
      <w:numPr>
        <w:ilvl w:val="4"/>
        <w:numId w:val="1"/>
      </w:numPr>
      <w:suppressAutoHyphens/>
      <w:spacing w:before="40" w:after="0" w:line="280" w:lineRule="atLeast"/>
      <w:jc w:val="both"/>
      <w:outlineLvl w:val="4"/>
    </w:pPr>
    <w:rPr>
      <w:rFonts w:ascii="Calibri Light" w:hAnsi="Calibri Light" w:eastAsia="SimHei" w:cs="SimHei"/>
      <w:color w:val="2E75B5"/>
      <w:szCs w:val="24"/>
      <w:lang w:eastAsia="pt-BR"/>
    </w:rPr>
  </w:style>
  <w:style w:type="paragraph" w:styleId="7">
    <w:name w:val="heading 7"/>
    <w:basedOn w:val="1"/>
    <w:next w:val="1"/>
    <w:qFormat/>
    <w:uiPriority w:val="0"/>
    <w:pPr>
      <w:keepNext/>
      <w:keepLines/>
      <w:numPr>
        <w:ilvl w:val="6"/>
        <w:numId w:val="1"/>
      </w:numPr>
      <w:suppressAutoHyphens/>
      <w:spacing w:before="40" w:after="0" w:line="280" w:lineRule="atLeast"/>
      <w:jc w:val="both"/>
      <w:outlineLvl w:val="6"/>
    </w:pPr>
    <w:rPr>
      <w:rFonts w:ascii="Calibri Light" w:hAnsi="Calibri Light" w:eastAsia="SimHei" w:cs="SimHei"/>
      <w:i/>
      <w:iCs/>
      <w:color w:val="1F4E79"/>
      <w:szCs w:val="24"/>
      <w:lang w:eastAsia="pt-BR"/>
    </w:rPr>
  </w:style>
  <w:style w:type="paragraph" w:styleId="8">
    <w:name w:val="heading 9"/>
    <w:basedOn w:val="1"/>
    <w:next w:val="1"/>
    <w:qFormat/>
    <w:uiPriority w:val="0"/>
    <w:pPr>
      <w:keepNext/>
      <w:keepLines/>
      <w:numPr>
        <w:ilvl w:val="8"/>
        <w:numId w:val="1"/>
      </w:numPr>
      <w:suppressAutoHyphens/>
      <w:spacing w:before="40" w:after="0" w:line="280" w:lineRule="atLeast"/>
      <w:jc w:val="both"/>
      <w:outlineLvl w:val="8"/>
    </w:pPr>
    <w:rPr>
      <w:rFonts w:ascii="Calibri Light" w:hAnsi="Calibri Light" w:eastAsia="SimHei" w:cs="SimHei"/>
      <w:i/>
      <w:iCs/>
      <w:color w:val="252525"/>
      <w:sz w:val="21"/>
      <w:szCs w:val="21"/>
      <w:lang w:eastAsia="pt-BR"/>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character" w:styleId="11">
    <w:name w:val="Strong"/>
    <w:basedOn w:val="9"/>
    <w:qFormat/>
    <w:uiPriority w:val="0"/>
    <w:rPr>
      <w:b/>
      <w:bCs/>
    </w:rPr>
  </w:style>
  <w:style w:type="character" w:styleId="12">
    <w:name w:val="annotation reference"/>
    <w:basedOn w:val="9"/>
    <w:semiHidden/>
    <w:unhideWhenUsed/>
    <w:qFormat/>
    <w:uiPriority w:val="99"/>
    <w:rPr>
      <w:sz w:val="16"/>
      <w:szCs w:val="16"/>
    </w:rPr>
  </w:style>
  <w:style w:type="character" w:styleId="13">
    <w:name w:val="FollowedHyperlink"/>
    <w:basedOn w:val="9"/>
    <w:unhideWhenUsed/>
    <w:qFormat/>
    <w:uiPriority w:val="0"/>
    <w:rPr>
      <w:color w:val="954F72" w:themeColor="followedHyperlink"/>
      <w:u w:val="single"/>
      <w14:textFill>
        <w14:solidFill>
          <w14:schemeClr w14:val="folHlink"/>
        </w14:solidFill>
      </w14:textFill>
    </w:rPr>
  </w:style>
  <w:style w:type="character" w:styleId="14">
    <w:name w:val="Emphasis"/>
    <w:basedOn w:val="9"/>
    <w:qFormat/>
    <w:uiPriority w:val="20"/>
    <w:rPr>
      <w:i/>
      <w:iCs/>
    </w:rPr>
  </w:style>
  <w:style w:type="character" w:styleId="15">
    <w:name w:val="Hyperlink"/>
    <w:basedOn w:val="9"/>
    <w:qFormat/>
    <w:uiPriority w:val="0"/>
    <w:rPr>
      <w:color w:val="000080"/>
      <w:u w:val="single"/>
    </w:rPr>
  </w:style>
  <w:style w:type="paragraph" w:styleId="16">
    <w:name w:val="List"/>
    <w:basedOn w:val="1"/>
    <w:unhideWhenUsed/>
    <w:qFormat/>
    <w:uiPriority w:val="0"/>
    <w:pPr>
      <w:numPr>
        <w:ilvl w:val="3"/>
        <w:numId w:val="2"/>
      </w:numPr>
      <w:spacing w:before="120" w:after="120" w:line="280" w:lineRule="atLeast"/>
      <w:contextualSpacing/>
      <w:jc w:val="both"/>
    </w:pPr>
    <w:rPr>
      <w:rFonts w:eastAsia="Times New Roman" w:cs="Arial"/>
      <w:szCs w:val="24"/>
      <w:lang w:eastAsia="pt-BR"/>
    </w:rPr>
  </w:style>
  <w:style w:type="paragraph" w:styleId="17">
    <w:name w:val="Body Text"/>
    <w:basedOn w:val="1"/>
    <w:link w:val="109"/>
    <w:qFormat/>
    <w:uiPriority w:val="1"/>
    <w:pPr>
      <w:widowControl w:val="0"/>
      <w:suppressAutoHyphens/>
      <w:spacing w:before="0" w:after="0" w:line="240" w:lineRule="auto"/>
    </w:pPr>
    <w:rPr>
      <w:rFonts w:ascii="Times New Roman" w:hAnsi="Times New Roman" w:eastAsia="Times New Roman"/>
      <w:color w:val="000000"/>
      <w:szCs w:val="24"/>
      <w:lang w:val="en-US"/>
    </w:rPr>
  </w:style>
  <w:style w:type="paragraph" w:styleId="18">
    <w:name w:val="annotation text"/>
    <w:basedOn w:val="1"/>
    <w:link w:val="37"/>
    <w:unhideWhenUsed/>
    <w:qFormat/>
    <w:uiPriority w:val="99"/>
    <w:pPr>
      <w:spacing w:line="240" w:lineRule="auto"/>
    </w:pPr>
    <w:rPr>
      <w:sz w:val="20"/>
      <w:szCs w:val="20"/>
    </w:rPr>
  </w:style>
  <w:style w:type="paragraph" w:styleId="19">
    <w:name w:val="Title"/>
    <w:basedOn w:val="1"/>
    <w:next w:val="1"/>
    <w:link w:val="55"/>
    <w:qFormat/>
    <w:uiPriority w:val="10"/>
    <w:pPr>
      <w:spacing w:before="0" w:after="120" w:line="259" w:lineRule="auto"/>
      <w:jc w:val="center"/>
    </w:pPr>
    <w:rPr>
      <w:rFonts w:eastAsia="Times New Roman" w:cs="Arial"/>
      <w:b/>
      <w:bCs/>
      <w:szCs w:val="24"/>
      <w:lang w:eastAsia="pt-BR"/>
    </w:rPr>
  </w:style>
  <w:style w:type="paragraph" w:styleId="20">
    <w:name w:val="Normal (Web)"/>
    <w:basedOn w:val="1"/>
    <w:unhideWhenUsed/>
    <w:qFormat/>
    <w:uiPriority w:val="0"/>
    <w:pPr>
      <w:spacing w:beforeAutospacing="1" w:afterAutospacing="1" w:line="240" w:lineRule="auto"/>
    </w:pPr>
    <w:rPr>
      <w:rFonts w:ascii="Times New Roman" w:hAnsi="Times New Roman" w:eastAsia="Times New Roman"/>
      <w:szCs w:val="24"/>
      <w:lang w:eastAsia="pt-BR"/>
    </w:rPr>
  </w:style>
  <w:style w:type="paragraph" w:styleId="21">
    <w:name w:val="toc 4"/>
    <w:autoRedefine/>
    <w:semiHidden/>
    <w:qFormat/>
    <w:uiPriority w:val="0"/>
    <w:pPr>
      <w:widowControl/>
      <w:suppressAutoHyphens/>
      <w:bidi w:val="0"/>
      <w:spacing w:before="0" w:after="0" w:line="240" w:lineRule="auto"/>
      <w:jc w:val="left"/>
    </w:pPr>
    <w:rPr>
      <w:rFonts w:ascii="Times New Roman" w:hAnsi="Times New Roman" w:eastAsia="Times New Roman" w:cs="Times New Roman"/>
      <w:color w:val="auto"/>
      <w:kern w:val="0"/>
      <w:sz w:val="20"/>
      <w:szCs w:val="20"/>
      <w:lang w:val="en-US" w:eastAsia="en-US" w:bidi="ar-SA"/>
    </w:rPr>
  </w:style>
  <w:style w:type="paragraph" w:styleId="22">
    <w:name w:val="header"/>
    <w:basedOn w:val="1"/>
    <w:link w:val="44"/>
    <w:unhideWhenUsed/>
    <w:qFormat/>
    <w:uiPriority w:val="0"/>
    <w:pPr>
      <w:tabs>
        <w:tab w:val="center" w:pos="4252"/>
        <w:tab w:val="right" w:pos="8504"/>
      </w:tabs>
      <w:spacing w:before="0" w:after="0" w:line="240" w:lineRule="auto"/>
    </w:pPr>
  </w:style>
  <w:style w:type="paragraph" w:styleId="23">
    <w:name w:val="annotation subject"/>
    <w:basedOn w:val="18"/>
    <w:next w:val="18"/>
    <w:link w:val="38"/>
    <w:unhideWhenUsed/>
    <w:qFormat/>
    <w:uiPriority w:val="0"/>
    <w:rPr>
      <w:b/>
      <w:bCs/>
    </w:rPr>
  </w:style>
  <w:style w:type="paragraph" w:styleId="24">
    <w:name w:val="footer"/>
    <w:basedOn w:val="1"/>
    <w:link w:val="45"/>
    <w:unhideWhenUsed/>
    <w:qFormat/>
    <w:uiPriority w:val="0"/>
    <w:pPr>
      <w:tabs>
        <w:tab w:val="center" w:pos="4252"/>
        <w:tab w:val="right" w:pos="8504"/>
      </w:tabs>
      <w:spacing w:before="0" w:after="0" w:line="240" w:lineRule="auto"/>
    </w:pPr>
  </w:style>
  <w:style w:type="paragraph" w:styleId="25">
    <w:name w:val="caption"/>
    <w:basedOn w:val="1"/>
    <w:qFormat/>
    <w:uiPriority w:val="0"/>
    <w:pPr>
      <w:suppressLineNumbers/>
      <w:suppressAutoHyphens/>
      <w:spacing w:before="120" w:after="120" w:line="280" w:lineRule="atLeast"/>
      <w:jc w:val="both"/>
    </w:pPr>
    <w:rPr>
      <w:rFonts w:eastAsia="Times New Roman" w:cs="Arial"/>
      <w:i/>
      <w:iCs/>
      <w:color w:val="000000"/>
      <w:szCs w:val="24"/>
      <w:lang w:eastAsia="pt-BR"/>
    </w:rPr>
  </w:style>
  <w:style w:type="paragraph" w:styleId="26">
    <w:name w:val="Balloon Text"/>
    <w:basedOn w:val="1"/>
    <w:link w:val="39"/>
    <w:unhideWhenUsed/>
    <w:qFormat/>
    <w:uiPriority w:val="0"/>
    <w:pPr>
      <w:spacing w:before="0" w:after="0" w:line="240" w:lineRule="auto"/>
    </w:pPr>
    <w:rPr>
      <w:rFonts w:ascii="Segoe UI" w:hAnsi="Segoe UI" w:cs="Segoe UI"/>
      <w:sz w:val="18"/>
      <w:szCs w:val="18"/>
    </w:rPr>
  </w:style>
  <w:style w:type="table" w:styleId="27">
    <w:name w:val="Table Grid"/>
    <w:basedOn w:val="10"/>
    <w:qFormat/>
    <w:uiPriority w:val="59"/>
    <w:pPr>
      <w:spacing w:before="0" w:line="240" w:lineRule="auto"/>
      <w:jc w:val="left"/>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Fonte parág. padrão1"/>
    <w:qFormat/>
    <w:uiPriority w:val="0"/>
  </w:style>
  <w:style w:type="character" w:customStyle="1" w:styleId="29">
    <w:name w:val="Internet Link"/>
    <w:basedOn w:val="9"/>
    <w:unhideWhenUsed/>
    <w:qFormat/>
    <w:uiPriority w:val="0"/>
    <w:rPr>
      <w:color w:val="0563C1" w:themeColor="hyperlink"/>
      <w:u w:val="single"/>
      <w14:textFill>
        <w14:solidFill>
          <w14:schemeClr w14:val="hlink"/>
        </w14:solidFill>
      </w14:textFill>
    </w:rPr>
  </w:style>
  <w:style w:type="character" w:customStyle="1" w:styleId="30">
    <w:name w:val="noticias Char"/>
    <w:basedOn w:val="9"/>
    <w:link w:val="31"/>
    <w:qFormat/>
    <w:uiPriority w:val="0"/>
    <w:rPr>
      <w:rFonts w:ascii="Arial" w:hAnsi="Arial"/>
    </w:rPr>
  </w:style>
  <w:style w:type="paragraph" w:customStyle="1" w:styleId="31">
    <w:name w:val="noticias"/>
    <w:link w:val="30"/>
    <w:qFormat/>
    <w:uiPriority w:val="0"/>
    <w:pPr>
      <w:widowControl/>
      <w:suppressAutoHyphens/>
      <w:bidi w:val="0"/>
      <w:spacing w:before="120" w:after="0" w:line="240" w:lineRule="auto"/>
      <w:jc w:val="both"/>
    </w:pPr>
    <w:rPr>
      <w:rFonts w:ascii="Arial" w:hAnsi="Arial" w:eastAsia="Calibri" w:cstheme="minorBidi"/>
      <w:color w:val="auto"/>
      <w:kern w:val="0"/>
      <w:sz w:val="22"/>
      <w:szCs w:val="22"/>
      <w:lang w:val="pt-BR" w:eastAsia="en-US" w:bidi="ar-SA"/>
    </w:rPr>
  </w:style>
  <w:style w:type="character" w:customStyle="1" w:styleId="32">
    <w:name w:val="citações Char"/>
    <w:basedOn w:val="9"/>
    <w:link w:val="33"/>
    <w:qFormat/>
    <w:uiPriority w:val="0"/>
    <w:rPr>
      <w:rFonts w:ascii="Times New Roman" w:hAnsi="Times New Roman"/>
      <w:szCs w:val="24"/>
    </w:rPr>
  </w:style>
  <w:style w:type="paragraph" w:customStyle="1" w:styleId="33">
    <w:name w:val="citações"/>
    <w:basedOn w:val="1"/>
    <w:link w:val="32"/>
    <w:qFormat/>
    <w:uiPriority w:val="0"/>
    <w:pPr>
      <w:spacing w:before="120" w:after="0" w:line="264" w:lineRule="auto"/>
      <w:ind w:left="2268"/>
    </w:pPr>
    <w:rPr>
      <w:rFonts w:ascii="Times New Roman" w:hAnsi="Times New Roman"/>
    </w:rPr>
  </w:style>
  <w:style w:type="character" w:customStyle="1" w:styleId="34">
    <w:name w:val="Citação Char"/>
    <w:basedOn w:val="9"/>
    <w:link w:val="35"/>
    <w:qFormat/>
    <w:uiPriority w:val="64"/>
    <w:rPr>
      <w:rFonts w:ascii="Times New Roman" w:hAnsi="Times New Roman"/>
      <w:color w:val="000000"/>
      <w:sz w:val="24"/>
      <w:szCs w:val="24"/>
    </w:rPr>
  </w:style>
  <w:style w:type="paragraph" w:styleId="35">
    <w:name w:val="Quote"/>
    <w:basedOn w:val="1"/>
    <w:next w:val="1"/>
    <w:link w:val="34"/>
    <w:qFormat/>
    <w:uiPriority w:val="64"/>
    <w:pPr>
      <w:spacing w:before="120" w:after="0" w:line="264" w:lineRule="auto"/>
      <w:ind w:left="2268"/>
    </w:pPr>
    <w:rPr>
      <w:rFonts w:ascii="Times New Roman" w:hAnsi="Times New Roman" w:cstheme="minorBidi"/>
      <w:color w:val="000000"/>
    </w:rPr>
  </w:style>
  <w:style w:type="character" w:customStyle="1" w:styleId="36">
    <w:name w:val="Menção Pendente1"/>
    <w:basedOn w:val="9"/>
    <w:unhideWhenUsed/>
    <w:qFormat/>
    <w:uiPriority w:val="0"/>
    <w:rPr>
      <w:color w:val="605E5C"/>
      <w:shd w:val="clear" w:fill="E1DFDD"/>
    </w:rPr>
  </w:style>
  <w:style w:type="character" w:customStyle="1" w:styleId="37">
    <w:name w:val="Texto de comentário Char"/>
    <w:basedOn w:val="9"/>
    <w:link w:val="18"/>
    <w:qFormat/>
    <w:uiPriority w:val="0"/>
    <w:rPr>
      <w:rFonts w:ascii="Arial" w:hAnsi="Arial" w:cs="Times New Roman"/>
      <w:sz w:val="20"/>
      <w:szCs w:val="20"/>
    </w:rPr>
  </w:style>
  <w:style w:type="character" w:customStyle="1" w:styleId="38">
    <w:name w:val="Assunto do comentário Char"/>
    <w:basedOn w:val="37"/>
    <w:link w:val="23"/>
    <w:qFormat/>
    <w:uiPriority w:val="0"/>
    <w:rPr>
      <w:rFonts w:ascii="Arial" w:hAnsi="Arial" w:cs="Times New Roman"/>
      <w:b/>
      <w:bCs/>
      <w:sz w:val="20"/>
      <w:szCs w:val="20"/>
    </w:rPr>
  </w:style>
  <w:style w:type="character" w:customStyle="1" w:styleId="39">
    <w:name w:val="Texto de balão Char"/>
    <w:basedOn w:val="9"/>
    <w:link w:val="26"/>
    <w:qFormat/>
    <w:uiPriority w:val="0"/>
    <w:rPr>
      <w:rFonts w:ascii="Segoe UI" w:hAnsi="Segoe UI" w:cs="Segoe UI"/>
      <w:sz w:val="18"/>
      <w:szCs w:val="18"/>
    </w:rPr>
  </w:style>
  <w:style w:type="character" w:customStyle="1" w:styleId="40">
    <w:name w:val="Parágrafo da Lista Char"/>
    <w:basedOn w:val="9"/>
    <w:link w:val="41"/>
    <w:qFormat/>
    <w:uiPriority w:val="1"/>
    <w:rPr>
      <w:rFonts w:ascii="Arial" w:hAnsi="Arial" w:cs="Times New Roman"/>
      <w:sz w:val="24"/>
    </w:rPr>
  </w:style>
  <w:style w:type="paragraph" w:styleId="41">
    <w:name w:val="List Paragraph"/>
    <w:basedOn w:val="1"/>
    <w:link w:val="40"/>
    <w:qFormat/>
    <w:uiPriority w:val="1"/>
    <w:pPr>
      <w:spacing w:before="240" w:after="0"/>
      <w:ind w:left="720"/>
      <w:contextualSpacing/>
    </w:pPr>
  </w:style>
  <w:style w:type="character" w:customStyle="1" w:styleId="42">
    <w:name w:val="Título 2 Char"/>
    <w:basedOn w:val="9"/>
    <w:qFormat/>
    <w:uiPriority w:val="0"/>
    <w:rPr>
      <w:rFonts w:ascii="Bookman Old Style" w:hAnsi="Bookman Old Style" w:eastAsiaTheme="majorEastAsia" w:cstheme="majorBidi"/>
      <w:sz w:val="24"/>
      <w:szCs w:val="26"/>
    </w:rPr>
  </w:style>
  <w:style w:type="character" w:customStyle="1" w:styleId="43">
    <w:name w:val="Menção Pendente2"/>
    <w:basedOn w:val="9"/>
    <w:unhideWhenUsed/>
    <w:qFormat/>
    <w:uiPriority w:val="0"/>
    <w:rPr>
      <w:color w:val="605E5C"/>
      <w:shd w:val="clear" w:fill="E1DFDD"/>
    </w:rPr>
  </w:style>
  <w:style w:type="character" w:customStyle="1" w:styleId="44">
    <w:name w:val="Cabeçalho Char"/>
    <w:basedOn w:val="9"/>
    <w:link w:val="22"/>
    <w:qFormat/>
    <w:uiPriority w:val="0"/>
    <w:rPr>
      <w:rFonts w:ascii="Arial" w:hAnsi="Arial" w:cs="Times New Roman"/>
      <w:sz w:val="24"/>
    </w:rPr>
  </w:style>
  <w:style w:type="character" w:customStyle="1" w:styleId="45">
    <w:name w:val="Rodapé Char"/>
    <w:basedOn w:val="9"/>
    <w:link w:val="24"/>
    <w:qFormat/>
    <w:uiPriority w:val="0"/>
    <w:rPr>
      <w:rFonts w:ascii="Arial" w:hAnsi="Arial" w:cs="Times New Roman"/>
      <w:sz w:val="24"/>
    </w:rPr>
  </w:style>
  <w:style w:type="character" w:customStyle="1" w:styleId="46">
    <w:name w:val="cf01"/>
    <w:basedOn w:val="9"/>
    <w:qFormat/>
    <w:uiPriority w:val="0"/>
    <w:rPr>
      <w:rFonts w:ascii="Segoe UI" w:hAnsi="Segoe UI" w:cs="Segoe UI"/>
      <w:sz w:val="18"/>
      <w:szCs w:val="18"/>
    </w:rPr>
  </w:style>
  <w:style w:type="character" w:customStyle="1" w:styleId="47">
    <w:name w:val="2o nivel Título Char"/>
    <w:basedOn w:val="9"/>
    <w:link w:val="48"/>
    <w:qFormat/>
    <w:uiPriority w:val="0"/>
    <w:rPr>
      <w:rFonts w:ascii="Bookman Old Style" w:hAnsi="Bookman Old Style" w:eastAsiaTheme="majorEastAsia" w:cstheme="majorBidi"/>
      <w:b/>
      <w:bCs/>
      <w:sz w:val="24"/>
      <w:szCs w:val="24"/>
    </w:rPr>
  </w:style>
  <w:style w:type="paragraph" w:customStyle="1" w:styleId="48">
    <w:name w:val="2o nivel Título"/>
    <w:basedOn w:val="49"/>
    <w:link w:val="47"/>
    <w:qFormat/>
    <w:uiPriority w:val="0"/>
    <w:pPr>
      <w:keepNext/>
      <w:tabs>
        <w:tab w:val="left" w:pos="794"/>
        <w:tab w:val="left" w:pos="851"/>
      </w:tabs>
    </w:pPr>
    <w:rPr>
      <w:b/>
      <w:bCs/>
    </w:rPr>
  </w:style>
  <w:style w:type="paragraph" w:customStyle="1" w:styleId="49">
    <w:name w:val="2o. nivel simples"/>
    <w:basedOn w:val="41"/>
    <w:qFormat/>
    <w:uiPriority w:val="0"/>
    <w:pPr>
      <w:tabs>
        <w:tab w:val="left" w:pos="794"/>
        <w:tab w:val="left" w:pos="851"/>
      </w:tabs>
      <w:spacing w:before="240" w:after="0"/>
      <w:ind w:left="0"/>
      <w:contextualSpacing w:val="0"/>
      <w:jc w:val="both"/>
      <w:outlineLvl w:val="1"/>
    </w:pPr>
    <w:rPr>
      <w:rFonts w:ascii="Bookman Old Style" w:hAnsi="Bookman Old Style" w:eastAsiaTheme="majorEastAsia" w:cstheme="majorBidi"/>
      <w:szCs w:val="24"/>
    </w:rPr>
  </w:style>
  <w:style w:type="character" w:customStyle="1" w:styleId="50">
    <w:name w:val="Título 1 Char"/>
    <w:basedOn w:val="9"/>
    <w:qFormat/>
    <w:uiPriority w:val="9"/>
    <w:rPr>
      <w:rFonts w:asciiTheme="majorHAnsi" w:hAnsiTheme="majorHAnsi" w:eastAsiaTheme="majorEastAsia" w:cstheme="majorBidi"/>
      <w:color w:val="2F5597" w:themeColor="accent1" w:themeShade="BF"/>
      <w:sz w:val="32"/>
      <w:szCs w:val="32"/>
    </w:rPr>
  </w:style>
  <w:style w:type="character" w:customStyle="1" w:styleId="51">
    <w:name w:val="3o. nivel Char"/>
    <w:basedOn w:val="9"/>
    <w:link w:val="52"/>
    <w:qFormat/>
    <w:uiPriority w:val="0"/>
    <w:rPr>
      <w:rFonts w:ascii="Bookman Old Style" w:hAnsi="Bookman Old Style" w:eastAsia="Times New Roman" w:cs="Times New Roman"/>
      <w:sz w:val="24"/>
      <w:szCs w:val="24"/>
      <w:lang w:eastAsia="pt-BR"/>
    </w:rPr>
  </w:style>
  <w:style w:type="paragraph" w:customStyle="1" w:styleId="52">
    <w:name w:val="3o. nivel"/>
    <w:basedOn w:val="1"/>
    <w:link w:val="51"/>
    <w:qFormat/>
    <w:uiPriority w:val="0"/>
    <w:pPr>
      <w:tabs>
        <w:tab w:val="left" w:pos="1134"/>
      </w:tabs>
      <w:jc w:val="both"/>
      <w:outlineLvl w:val="1"/>
    </w:pPr>
    <w:rPr>
      <w:rFonts w:ascii="Bookman Old Style" w:hAnsi="Bookman Old Style" w:eastAsia="Times New Roman"/>
      <w:szCs w:val="24"/>
      <w:lang w:eastAsia="pt-BR"/>
    </w:rPr>
  </w:style>
  <w:style w:type="character" w:styleId="53">
    <w:name w:val="Placeholder Text"/>
    <w:basedOn w:val="9"/>
    <w:semiHidden/>
    <w:qFormat/>
    <w:uiPriority w:val="99"/>
    <w:rPr>
      <w:color w:val="808080"/>
    </w:rPr>
  </w:style>
  <w:style w:type="character" w:customStyle="1" w:styleId="54">
    <w:name w:val="cf11"/>
    <w:basedOn w:val="9"/>
    <w:qFormat/>
    <w:uiPriority w:val="0"/>
    <w:rPr>
      <w:rFonts w:ascii="Segoe UI" w:hAnsi="Segoe UI" w:cs="Segoe UI"/>
      <w:b/>
      <w:bCs/>
      <w:sz w:val="18"/>
      <w:szCs w:val="18"/>
    </w:rPr>
  </w:style>
  <w:style w:type="character" w:customStyle="1" w:styleId="55">
    <w:name w:val="Título Char"/>
    <w:basedOn w:val="9"/>
    <w:link w:val="19"/>
    <w:qFormat/>
    <w:uiPriority w:val="0"/>
    <w:rPr>
      <w:rFonts w:ascii="Arial" w:hAnsi="Arial" w:eastAsia="Times New Roman" w:cs="Arial"/>
      <w:b/>
      <w:bCs/>
      <w:sz w:val="24"/>
      <w:szCs w:val="24"/>
      <w:lang w:eastAsia="pt-BR"/>
    </w:rPr>
  </w:style>
  <w:style w:type="character" w:customStyle="1" w:styleId="56">
    <w:name w:val="Título 3 Char"/>
    <w:basedOn w:val="9"/>
    <w:qFormat/>
    <w:uiPriority w:val="0"/>
    <w:rPr>
      <w:rFonts w:asciiTheme="majorHAnsi" w:hAnsiTheme="majorHAnsi" w:eastAsiaTheme="majorEastAsia" w:cstheme="majorBidi"/>
      <w:color w:val="203864" w:themeColor="accent1" w:themeShade="80"/>
      <w:sz w:val="24"/>
      <w:szCs w:val="24"/>
    </w:rPr>
  </w:style>
  <w:style w:type="character" w:customStyle="1" w:styleId="57">
    <w:name w:val="Tópico 2 Char"/>
    <w:basedOn w:val="40"/>
    <w:link w:val="58"/>
    <w:qFormat/>
    <w:uiPriority w:val="0"/>
    <w:rPr>
      <w:rFonts w:ascii="Arial" w:hAnsi="Arial" w:eastAsia="Times New Roman" w:cs="Arial"/>
      <w:b/>
      <w:bCs/>
      <w:iCs/>
      <w:sz w:val="24"/>
      <w:szCs w:val="24"/>
      <w:lang w:eastAsia="pt-BR"/>
    </w:rPr>
  </w:style>
  <w:style w:type="paragraph" w:customStyle="1" w:styleId="58">
    <w:name w:val="Tópico 2"/>
    <w:basedOn w:val="41"/>
    <w:link w:val="57"/>
    <w:qFormat/>
    <w:uiPriority w:val="0"/>
    <w:pPr>
      <w:pBdr>
        <w:bottom w:val="single" w:color="000000" w:sz="4" w:space="1"/>
      </w:pBdr>
      <w:spacing w:before="360" w:after="240" w:line="288" w:lineRule="auto"/>
      <w:ind w:left="624" w:hanging="624"/>
      <w:contextualSpacing w:val="0"/>
      <w:jc w:val="both"/>
    </w:pPr>
    <w:rPr>
      <w:rFonts w:eastAsia="Times New Roman" w:cs="Arial"/>
      <w:b/>
      <w:bCs/>
      <w:iCs/>
      <w:szCs w:val="24"/>
      <w:lang w:eastAsia="pt-BR"/>
    </w:rPr>
  </w:style>
  <w:style w:type="character" w:customStyle="1" w:styleId="59">
    <w:name w:val="pspdfkit-6fq5ysqkmc2gc1fek9b659qfh8"/>
    <w:basedOn w:val="9"/>
    <w:qFormat/>
    <w:uiPriority w:val="0"/>
  </w:style>
  <w:style w:type="character" w:customStyle="1" w:styleId="60">
    <w:name w:val="N° da Cláusula Char"/>
    <w:basedOn w:val="40"/>
    <w:link w:val="61"/>
    <w:qFormat/>
    <w:locked/>
    <w:uiPriority w:val="2"/>
    <w:rPr>
      <w:rFonts w:ascii="Arial" w:hAnsi="Arial" w:eastAsia="Times New Roman" w:cs="Arial"/>
      <w:b/>
      <w:bCs/>
      <w:sz w:val="24"/>
      <w:szCs w:val="24"/>
      <w:lang w:eastAsia="pt-BR"/>
    </w:rPr>
  </w:style>
  <w:style w:type="paragraph" w:customStyle="1" w:styleId="61">
    <w:name w:val="N° da Cláusula"/>
    <w:basedOn w:val="41"/>
    <w:link w:val="60"/>
    <w:qFormat/>
    <w:uiPriority w:val="2"/>
    <w:pPr>
      <w:keepNext/>
      <w:numPr>
        <w:ilvl w:val="0"/>
        <w:numId w:val="3"/>
      </w:numPr>
      <w:pBdr>
        <w:bottom w:val="thinThickMediumGap" w:color="000000" w:sz="18" w:space="1"/>
      </w:pBdr>
      <w:tabs>
        <w:tab w:val="left" w:pos="2127"/>
      </w:tabs>
      <w:spacing w:before="360" w:after="0" w:line="264" w:lineRule="auto"/>
      <w:ind w:left="0" w:firstLine="0"/>
      <w:contextualSpacing w:val="0"/>
      <w:jc w:val="both"/>
    </w:pPr>
    <w:rPr>
      <w:rFonts w:eastAsia="Times New Roman" w:cs="Arial"/>
      <w:b/>
      <w:bCs/>
      <w:szCs w:val="24"/>
      <w:lang w:eastAsia="pt-BR"/>
    </w:rPr>
  </w:style>
  <w:style w:type="character" w:customStyle="1" w:styleId="62">
    <w:name w:val="Tópico 1 Char"/>
    <w:basedOn w:val="40"/>
    <w:link w:val="63"/>
    <w:qFormat/>
    <w:uiPriority w:val="0"/>
    <w:rPr>
      <w:rFonts w:ascii="Arial" w:hAnsi="Arial" w:eastAsia="Times New Roman" w:cs="Arial"/>
      <w:b/>
      <w:bCs/>
      <w:iCs/>
      <w:sz w:val="24"/>
      <w:szCs w:val="24"/>
      <w:lang w:eastAsia="pt-BR"/>
    </w:rPr>
  </w:style>
  <w:style w:type="paragraph" w:customStyle="1" w:styleId="63">
    <w:name w:val="Tópico 1"/>
    <w:basedOn w:val="41"/>
    <w:link w:val="62"/>
    <w:qFormat/>
    <w:uiPriority w:val="0"/>
    <w:pPr>
      <w:numPr>
        <w:ilvl w:val="0"/>
        <w:numId w:val="2"/>
      </w:numPr>
      <w:pBdr>
        <w:bottom w:val="thinThickSmallGap" w:color="000000" w:sz="18" w:space="1"/>
      </w:pBdr>
      <w:spacing w:before="360" w:after="240" w:line="288" w:lineRule="auto"/>
      <w:ind w:left="426" w:hanging="426"/>
      <w:contextualSpacing w:val="0"/>
      <w:jc w:val="both"/>
    </w:pPr>
    <w:rPr>
      <w:rFonts w:eastAsia="Times New Roman" w:cs="Arial"/>
      <w:b/>
      <w:bCs/>
      <w:iCs/>
      <w:szCs w:val="24"/>
      <w:lang w:eastAsia="pt-BR"/>
    </w:rPr>
  </w:style>
  <w:style w:type="character" w:customStyle="1" w:styleId="64">
    <w:name w:val="2o. Nível Char"/>
    <w:basedOn w:val="40"/>
    <w:link w:val="65"/>
    <w:qFormat/>
    <w:uiPriority w:val="0"/>
    <w:rPr>
      <w:rFonts w:ascii="Arial" w:hAnsi="Arial" w:cs="Arial" w:eastAsiaTheme="minorHAnsi"/>
      <w:sz w:val="24"/>
      <w:szCs w:val="24"/>
      <w:lang w:eastAsia="pt-BR"/>
    </w:rPr>
  </w:style>
  <w:style w:type="paragraph" w:customStyle="1" w:styleId="65">
    <w:name w:val="2o. Nível"/>
    <w:basedOn w:val="41"/>
    <w:link w:val="64"/>
    <w:qFormat/>
    <w:uiPriority w:val="0"/>
    <w:pPr>
      <w:tabs>
        <w:tab w:val="left" w:pos="851"/>
        <w:tab w:val="left" w:pos="1843"/>
      </w:tabs>
      <w:spacing w:before="120" w:after="0" w:line="264" w:lineRule="auto"/>
      <w:ind w:left="0"/>
      <w:contextualSpacing w:val="0"/>
      <w:jc w:val="both"/>
    </w:pPr>
    <w:rPr>
      <w:rFonts w:cs="Arial" w:eastAsiaTheme="minorHAnsi"/>
      <w:szCs w:val="24"/>
      <w:lang w:eastAsia="pt-BR"/>
    </w:rPr>
  </w:style>
  <w:style w:type="character" w:customStyle="1" w:styleId="66">
    <w:name w:val="3o. Nível Char"/>
    <w:basedOn w:val="40"/>
    <w:link w:val="67"/>
    <w:qFormat/>
    <w:uiPriority w:val="0"/>
    <w:rPr>
      <w:rFonts w:ascii="Arial" w:hAnsi="Arial" w:eastAsia="Times New Roman" w:cs="Arial"/>
      <w:color w:val="000000"/>
      <w:sz w:val="24"/>
      <w:szCs w:val="24"/>
      <w:lang w:eastAsia="pt-BR"/>
    </w:rPr>
  </w:style>
  <w:style w:type="paragraph" w:customStyle="1" w:styleId="67">
    <w:name w:val="3o. Nível"/>
    <w:basedOn w:val="41"/>
    <w:link w:val="66"/>
    <w:qFormat/>
    <w:uiPriority w:val="0"/>
    <w:pPr>
      <w:tabs>
        <w:tab w:val="left" w:pos="993"/>
        <w:tab w:val="left" w:pos="1843"/>
      </w:tabs>
      <w:spacing w:before="120" w:after="0" w:line="264" w:lineRule="auto"/>
      <w:ind w:left="0"/>
      <w:contextualSpacing w:val="0"/>
      <w:jc w:val="both"/>
    </w:pPr>
    <w:rPr>
      <w:rFonts w:eastAsia="Times New Roman" w:cs="Arial"/>
      <w:color w:val="000000"/>
      <w:szCs w:val="24"/>
      <w:lang w:eastAsia="pt-BR"/>
    </w:rPr>
  </w:style>
  <w:style w:type="character" w:customStyle="1" w:styleId="68">
    <w:name w:val="Cláusula Char"/>
    <w:basedOn w:val="40"/>
    <w:link w:val="69"/>
    <w:qFormat/>
    <w:uiPriority w:val="0"/>
    <w:rPr>
      <w:rFonts w:ascii="Arial" w:hAnsi="Arial" w:cs="Arial" w:eastAsiaTheme="minorHAnsi"/>
      <w:b/>
      <w:sz w:val="24"/>
      <w:szCs w:val="24"/>
    </w:rPr>
  </w:style>
  <w:style w:type="paragraph" w:customStyle="1" w:styleId="69">
    <w:name w:val="Cláusula"/>
    <w:basedOn w:val="41"/>
    <w:link w:val="68"/>
    <w:qFormat/>
    <w:uiPriority w:val="0"/>
    <w:pPr>
      <w:keepNext/>
      <w:pBdr>
        <w:bottom w:val="thinThickMediumGap" w:color="000000" w:sz="18" w:space="1"/>
      </w:pBdr>
      <w:tabs>
        <w:tab w:val="left" w:pos="2127"/>
      </w:tabs>
      <w:spacing w:before="360" w:after="0" w:line="264" w:lineRule="auto"/>
      <w:ind w:left="0"/>
      <w:contextualSpacing w:val="0"/>
      <w:jc w:val="both"/>
    </w:pPr>
    <w:rPr>
      <w:rFonts w:cs="Arial" w:eastAsiaTheme="minorHAnsi"/>
      <w:b/>
      <w:szCs w:val="24"/>
    </w:rPr>
  </w:style>
  <w:style w:type="character" w:customStyle="1" w:styleId="70">
    <w:name w:val="Título 4 Char"/>
    <w:basedOn w:val="9"/>
    <w:qFormat/>
    <w:uiPriority w:val="0"/>
    <w:rPr>
      <w:rFonts w:ascii="Calibri Light" w:hAnsi="Calibri Light" w:eastAsia="SimHei" w:cs="SimHei"/>
      <w:i/>
      <w:iCs/>
      <w:color w:val="2E75B5"/>
      <w:sz w:val="24"/>
      <w:szCs w:val="24"/>
      <w:lang w:eastAsia="pt-BR"/>
    </w:rPr>
  </w:style>
  <w:style w:type="character" w:customStyle="1" w:styleId="71">
    <w:name w:val="Título 5 Char"/>
    <w:basedOn w:val="9"/>
    <w:qFormat/>
    <w:uiPriority w:val="0"/>
    <w:rPr>
      <w:rFonts w:ascii="Calibri Light" w:hAnsi="Calibri Light" w:eastAsia="SimHei" w:cs="SimHei"/>
      <w:color w:val="2E75B5"/>
      <w:sz w:val="24"/>
      <w:szCs w:val="24"/>
      <w:lang w:eastAsia="pt-BR"/>
    </w:rPr>
  </w:style>
  <w:style w:type="character" w:customStyle="1" w:styleId="72">
    <w:name w:val="Título 7 Char"/>
    <w:basedOn w:val="9"/>
    <w:qFormat/>
    <w:uiPriority w:val="0"/>
    <w:rPr>
      <w:rFonts w:ascii="Calibri Light" w:hAnsi="Calibri Light" w:eastAsia="SimHei" w:cs="SimHei"/>
      <w:i/>
      <w:iCs/>
      <w:color w:val="1F4E79"/>
      <w:sz w:val="24"/>
      <w:szCs w:val="24"/>
      <w:lang w:eastAsia="pt-BR"/>
    </w:rPr>
  </w:style>
  <w:style w:type="character" w:customStyle="1" w:styleId="73">
    <w:name w:val="Título 9 Char"/>
    <w:basedOn w:val="9"/>
    <w:qFormat/>
    <w:uiPriority w:val="0"/>
    <w:rPr>
      <w:rFonts w:ascii="Calibri Light" w:hAnsi="Calibri Light" w:eastAsia="SimHei" w:cs="SimHei"/>
      <w:i/>
      <w:iCs/>
      <w:color w:val="252525"/>
      <w:sz w:val="21"/>
      <w:szCs w:val="21"/>
      <w:lang w:eastAsia="pt-BR"/>
    </w:rPr>
  </w:style>
  <w:style w:type="character" w:customStyle="1" w:styleId="74">
    <w:name w:val="WW8Num2z0"/>
    <w:qFormat/>
    <w:uiPriority w:val="0"/>
    <w:rPr>
      <w:rFonts w:ascii="Symbol" w:hAnsi="Symbol" w:cs="Symbol"/>
    </w:rPr>
  </w:style>
  <w:style w:type="character" w:customStyle="1" w:styleId="75">
    <w:name w:val="WW8Num2z1"/>
    <w:qFormat/>
    <w:uiPriority w:val="0"/>
    <w:rPr>
      <w:rFonts w:ascii="Courier New" w:hAnsi="Courier New" w:cs="Courier New"/>
    </w:rPr>
  </w:style>
  <w:style w:type="character" w:customStyle="1" w:styleId="76">
    <w:name w:val="WW8Num2z2"/>
    <w:qFormat/>
    <w:uiPriority w:val="0"/>
    <w:rPr>
      <w:rFonts w:ascii="Wingdings" w:hAnsi="Wingdings" w:cs="Wingdings"/>
    </w:rPr>
  </w:style>
  <w:style w:type="character" w:customStyle="1" w:styleId="77">
    <w:name w:val="WW8Num5z1"/>
    <w:qFormat/>
    <w:uiPriority w:val="0"/>
    <w:rPr>
      <w:color w:val="000000"/>
    </w:rPr>
  </w:style>
  <w:style w:type="character" w:customStyle="1" w:styleId="78">
    <w:name w:val="WW8Num6z0"/>
    <w:qFormat/>
    <w:uiPriority w:val="0"/>
    <w:rPr>
      <w:rFonts w:ascii="Symbol" w:hAnsi="Symbol" w:cs="Symbol"/>
    </w:rPr>
  </w:style>
  <w:style w:type="character" w:customStyle="1" w:styleId="79">
    <w:name w:val="WW8Num6z1"/>
    <w:qFormat/>
    <w:uiPriority w:val="0"/>
    <w:rPr>
      <w:rFonts w:ascii="Courier New" w:hAnsi="Courier New" w:cs="Courier New"/>
    </w:rPr>
  </w:style>
  <w:style w:type="character" w:customStyle="1" w:styleId="80">
    <w:name w:val="WW8Num6z2"/>
    <w:qFormat/>
    <w:uiPriority w:val="0"/>
    <w:rPr>
      <w:rFonts w:ascii="Wingdings" w:hAnsi="Wingdings" w:cs="Wingdings"/>
    </w:rPr>
  </w:style>
  <w:style w:type="character" w:customStyle="1" w:styleId="81">
    <w:name w:val="WW8Num7z0"/>
    <w:qFormat/>
    <w:uiPriority w:val="0"/>
    <w:rPr>
      <w:rFonts w:ascii="Symbol" w:hAnsi="Symbol" w:cs="Symbol"/>
    </w:rPr>
  </w:style>
  <w:style w:type="character" w:customStyle="1" w:styleId="82">
    <w:name w:val="WW8Num7z1"/>
    <w:qFormat/>
    <w:uiPriority w:val="0"/>
    <w:rPr>
      <w:rFonts w:ascii="Courier New" w:hAnsi="Courier New" w:cs="Courier New"/>
    </w:rPr>
  </w:style>
  <w:style w:type="character" w:customStyle="1" w:styleId="83">
    <w:name w:val="WW8Num7z2"/>
    <w:qFormat/>
    <w:uiPriority w:val="0"/>
    <w:rPr>
      <w:rFonts w:ascii="Wingdings" w:hAnsi="Wingdings" w:cs="Wingdings"/>
    </w:rPr>
  </w:style>
  <w:style w:type="character" w:customStyle="1" w:styleId="84">
    <w:name w:val="WW8Num8z0"/>
    <w:qFormat/>
    <w:uiPriority w:val="0"/>
    <w:rPr>
      <w:rFonts w:ascii="Symbol" w:hAnsi="Symbol" w:cs="Symbol"/>
    </w:rPr>
  </w:style>
  <w:style w:type="character" w:customStyle="1" w:styleId="85">
    <w:name w:val="WW8Num8z1"/>
    <w:qFormat/>
    <w:uiPriority w:val="0"/>
    <w:rPr>
      <w:rFonts w:ascii="Courier New" w:hAnsi="Courier New" w:cs="Courier New"/>
    </w:rPr>
  </w:style>
  <w:style w:type="character" w:customStyle="1" w:styleId="86">
    <w:name w:val="WW8Num8z2"/>
    <w:qFormat/>
    <w:uiPriority w:val="0"/>
    <w:rPr>
      <w:rFonts w:ascii="Wingdings" w:hAnsi="Wingdings" w:cs="Wingdings"/>
    </w:rPr>
  </w:style>
  <w:style w:type="character" w:customStyle="1" w:styleId="87">
    <w:name w:val="WW8Num1z0"/>
    <w:qFormat/>
    <w:uiPriority w:val="0"/>
    <w:rPr>
      <w:rFonts w:ascii="Symbol" w:hAnsi="Symbol" w:cs="Symbol"/>
    </w:rPr>
  </w:style>
  <w:style w:type="character" w:customStyle="1" w:styleId="88">
    <w:name w:val="WW8Num1z1"/>
    <w:qFormat/>
    <w:uiPriority w:val="0"/>
    <w:rPr>
      <w:rFonts w:ascii="Courier New" w:hAnsi="Courier New" w:cs="Courier New"/>
    </w:rPr>
  </w:style>
  <w:style w:type="character" w:customStyle="1" w:styleId="89">
    <w:name w:val="WW8Num1z2"/>
    <w:qFormat/>
    <w:uiPriority w:val="0"/>
    <w:rPr>
      <w:rFonts w:ascii="Wingdings" w:hAnsi="Wingdings" w:cs="Wingdings"/>
    </w:rPr>
  </w:style>
  <w:style w:type="character" w:customStyle="1" w:styleId="90">
    <w:name w:val="WW8Num4z1"/>
    <w:qFormat/>
    <w:uiPriority w:val="0"/>
    <w:rPr>
      <w:color w:val="000000"/>
    </w:rPr>
  </w:style>
  <w:style w:type="character" w:customStyle="1" w:styleId="91">
    <w:name w:val="WW8Num5z0"/>
    <w:qFormat/>
    <w:uiPriority w:val="0"/>
    <w:rPr>
      <w:rFonts w:ascii="Symbol" w:hAnsi="Symbol" w:cs="Symbol"/>
    </w:rPr>
  </w:style>
  <w:style w:type="character" w:customStyle="1" w:styleId="92">
    <w:name w:val="WW8Num5z2"/>
    <w:qFormat/>
    <w:uiPriority w:val="0"/>
    <w:rPr>
      <w:rFonts w:ascii="Wingdings" w:hAnsi="Wingdings" w:cs="Wingdings"/>
    </w:rPr>
  </w:style>
  <w:style w:type="character" w:customStyle="1" w:styleId="93">
    <w:name w:val="Ref. de comentário1"/>
    <w:basedOn w:val="28"/>
    <w:qFormat/>
    <w:uiPriority w:val="0"/>
    <w:rPr>
      <w:sz w:val="16"/>
      <w:szCs w:val="16"/>
    </w:rPr>
  </w:style>
  <w:style w:type="character" w:customStyle="1" w:styleId="94">
    <w:name w:val="Lista Char"/>
    <w:basedOn w:val="28"/>
    <w:qFormat/>
    <w:uiPriority w:val="0"/>
    <w:rPr>
      <w:rFonts w:ascii="Arial" w:hAnsi="Arial" w:eastAsia="Times New Roman" w:cs="Arial"/>
      <w:sz w:val="24"/>
      <w:szCs w:val="24"/>
      <w:lang w:eastAsia="pt-BR"/>
    </w:rPr>
  </w:style>
  <w:style w:type="character" w:customStyle="1" w:styleId="95">
    <w:name w:val="Corpo de texto Char"/>
    <w:basedOn w:val="28"/>
    <w:qFormat/>
    <w:uiPriority w:val="1"/>
    <w:rPr>
      <w:rFonts w:ascii="Times New Roman" w:hAnsi="Times New Roman" w:eastAsia="Times New Roman" w:cs="Times New Roman"/>
      <w:sz w:val="24"/>
      <w:szCs w:val="24"/>
      <w:lang w:val="en-US"/>
    </w:rPr>
  </w:style>
  <w:style w:type="character" w:customStyle="1" w:styleId="96">
    <w:name w:val="Normal (Web) Char"/>
    <w:basedOn w:val="28"/>
    <w:qFormat/>
    <w:uiPriority w:val="0"/>
    <w:rPr>
      <w:rFonts w:ascii="Times New Roman" w:hAnsi="Times New Roman" w:eastAsia="Times New Roman" w:cs="Times New Roman"/>
      <w:sz w:val="24"/>
      <w:szCs w:val="24"/>
      <w:lang w:eastAsia="pt-BR"/>
    </w:rPr>
  </w:style>
  <w:style w:type="character" w:customStyle="1" w:styleId="97">
    <w:name w:val="Tópico Char"/>
    <w:basedOn w:val="28"/>
    <w:qFormat/>
    <w:uiPriority w:val="0"/>
    <w:rPr>
      <w:rFonts w:ascii="Arial" w:hAnsi="Arial" w:eastAsia="Times New Roman" w:cs="Arial"/>
      <w:lang w:eastAsia="pt-BR"/>
    </w:rPr>
  </w:style>
  <w:style w:type="character" w:customStyle="1" w:styleId="98">
    <w:name w:val="Inciso Char"/>
    <w:basedOn w:val="28"/>
    <w:qFormat/>
    <w:uiPriority w:val="0"/>
    <w:rPr>
      <w:rFonts w:ascii="Arial" w:hAnsi="Arial" w:eastAsia="Times New Roman" w:cs="Arial"/>
      <w:sz w:val="24"/>
      <w:szCs w:val="24"/>
      <w:lang w:eastAsia="pt-BR"/>
    </w:rPr>
  </w:style>
  <w:style w:type="character" w:customStyle="1" w:styleId="99">
    <w:name w:val="Texto do Espaço Reservado1"/>
    <w:basedOn w:val="28"/>
    <w:qFormat/>
    <w:uiPriority w:val="0"/>
    <w:rPr>
      <w:color w:val="808080"/>
    </w:rPr>
  </w:style>
  <w:style w:type="character" w:customStyle="1" w:styleId="100">
    <w:name w:val="TR - PB Char"/>
    <w:basedOn w:val="96"/>
    <w:qFormat/>
    <w:uiPriority w:val="0"/>
    <w:rPr>
      <w:rFonts w:ascii="Arial" w:hAnsi="Arial" w:eastAsia="Times New Roman" w:cs="Arial"/>
      <w:b/>
      <w:bCs/>
      <w:sz w:val="24"/>
      <w:szCs w:val="24"/>
      <w:lang w:eastAsia="pt-BR"/>
    </w:rPr>
  </w:style>
  <w:style w:type="character" w:customStyle="1" w:styleId="101">
    <w:name w:val="3o nivel 1.1.1 Char"/>
    <w:basedOn w:val="42"/>
    <w:qFormat/>
    <w:uiPriority w:val="0"/>
    <w:rPr>
      <w:rFonts w:ascii="Arial" w:hAnsi="Arial" w:eastAsia="Times New Roman" w:cs="Arial"/>
      <w:bCs/>
      <w:color w:val="000000"/>
      <w:sz w:val="24"/>
      <w:szCs w:val="24"/>
      <w:u w:val="single"/>
      <w:lang w:eastAsia="pt-BR"/>
    </w:rPr>
  </w:style>
  <w:style w:type="character" w:customStyle="1" w:styleId="102">
    <w:name w:val="Tópico 3 Char"/>
    <w:basedOn w:val="40"/>
    <w:qFormat/>
    <w:uiPriority w:val="0"/>
    <w:rPr>
      <w:rFonts w:ascii="Arial" w:hAnsi="Arial" w:eastAsia="Times New Roman" w:cs="Arial"/>
      <w:b/>
      <w:bCs/>
      <w:iCs/>
      <w:sz w:val="24"/>
      <w:szCs w:val="24"/>
      <w:lang w:eastAsia="pt-BR"/>
    </w:rPr>
  </w:style>
  <w:style w:type="character" w:customStyle="1" w:styleId="103">
    <w:name w:val="parágrafo Char"/>
    <w:basedOn w:val="28"/>
    <w:qFormat/>
    <w:uiPriority w:val="0"/>
    <w:rPr>
      <w:rFonts w:ascii="Arial" w:hAnsi="Arial" w:cs="Arial"/>
      <w:sz w:val="24"/>
    </w:rPr>
  </w:style>
  <w:style w:type="character" w:customStyle="1" w:styleId="104">
    <w:name w:val="Art. Char"/>
    <w:basedOn w:val="28"/>
    <w:qFormat/>
    <w:uiPriority w:val="0"/>
    <w:rPr>
      <w:rFonts w:ascii="Arial" w:hAnsi="Arial" w:cs="Arial"/>
      <w:sz w:val="24"/>
    </w:rPr>
  </w:style>
  <w:style w:type="character" w:customStyle="1" w:styleId="105">
    <w:name w:val="Tópico 4 Char"/>
    <w:basedOn w:val="94"/>
    <w:qFormat/>
    <w:uiPriority w:val="0"/>
    <w:rPr>
      <w:rFonts w:ascii="Arial" w:hAnsi="Arial" w:eastAsia="Times New Roman" w:cs="Arial"/>
      <w:sz w:val="24"/>
      <w:szCs w:val="24"/>
      <w:lang w:eastAsia="pt-BR"/>
    </w:rPr>
  </w:style>
  <w:style w:type="character" w:customStyle="1" w:styleId="106">
    <w:name w:val="Tópico 5 Char"/>
    <w:basedOn w:val="105"/>
    <w:qFormat/>
    <w:uiPriority w:val="0"/>
    <w:rPr>
      <w:rFonts w:ascii="Arial" w:hAnsi="Arial" w:eastAsia="Times New Roman" w:cs="Arial"/>
      <w:sz w:val="24"/>
      <w:szCs w:val="24"/>
      <w:lang w:eastAsia="pt-BR"/>
    </w:rPr>
  </w:style>
  <w:style w:type="character" w:customStyle="1" w:styleId="107">
    <w:name w:val="Quebra Char"/>
    <w:basedOn w:val="62"/>
    <w:qFormat/>
    <w:uiPriority w:val="0"/>
    <w:rPr>
      <w:rFonts w:ascii="Arial" w:hAnsi="Arial" w:eastAsia="Times New Roman" w:cs="Arial"/>
      <w:sz w:val="2"/>
      <w:szCs w:val="24"/>
      <w:lang w:eastAsia="pt-BR"/>
    </w:rPr>
  </w:style>
  <w:style w:type="character" w:customStyle="1" w:styleId="108">
    <w:name w:val="fontstyle21"/>
    <w:basedOn w:val="28"/>
    <w:qFormat/>
    <w:uiPriority w:val="0"/>
    <w:rPr>
      <w:rFonts w:ascii="TimesNewRomanPSMT" w:hAnsi="TimesNewRomanPSMT" w:cs="TimesNewRomanPSMT"/>
      <w:color w:val="000000"/>
      <w:sz w:val="18"/>
      <w:szCs w:val="18"/>
    </w:rPr>
  </w:style>
  <w:style w:type="character" w:customStyle="1" w:styleId="109">
    <w:name w:val="Corpo de texto Char1"/>
    <w:basedOn w:val="9"/>
    <w:link w:val="17"/>
    <w:qFormat/>
    <w:uiPriority w:val="0"/>
    <w:rPr>
      <w:rFonts w:ascii="Times New Roman" w:hAnsi="Times New Roman" w:eastAsia="Times New Roman" w:cs="Times New Roman"/>
      <w:color w:val="000000"/>
      <w:sz w:val="24"/>
      <w:szCs w:val="24"/>
      <w:lang w:val="en-US"/>
    </w:rPr>
  </w:style>
  <w:style w:type="character" w:customStyle="1" w:styleId="110">
    <w:name w:val="Unresolved Mention"/>
    <w:basedOn w:val="9"/>
    <w:semiHidden/>
    <w:unhideWhenUsed/>
    <w:qFormat/>
    <w:uiPriority w:val="99"/>
    <w:rPr>
      <w:color w:val="605E5C"/>
      <w:shd w:val="clear" w:fill="E1DFDD"/>
    </w:rPr>
  </w:style>
  <w:style w:type="character" w:customStyle="1" w:styleId="111">
    <w:name w:val="Internet Link1"/>
    <w:basedOn w:val="9"/>
    <w:unhideWhenUsed/>
    <w:qFormat/>
    <w:uiPriority w:val="99"/>
    <w:rPr>
      <w:color w:val="0563C1" w:themeColor="hyperlink"/>
      <w:u w:val="single"/>
      <w14:textFill>
        <w14:solidFill>
          <w14:schemeClr w14:val="hlink"/>
        </w14:solidFill>
      </w14:textFill>
    </w:rPr>
  </w:style>
  <w:style w:type="character" w:customStyle="1" w:styleId="112">
    <w:name w:val="Internet Link2"/>
    <w:qFormat/>
    <w:uiPriority w:val="0"/>
    <w:rPr>
      <w:color w:val="000080"/>
      <w:u w:val="single"/>
    </w:rPr>
  </w:style>
  <w:style w:type="paragraph" w:customStyle="1" w:styleId="113">
    <w:name w:val="Título12"/>
    <w:basedOn w:val="1"/>
    <w:next w:val="17"/>
    <w:qFormat/>
    <w:uiPriority w:val="0"/>
    <w:pPr>
      <w:keepNext/>
      <w:spacing w:before="240" w:after="120"/>
    </w:pPr>
    <w:rPr>
      <w:rFonts w:ascii="Liberation Sans" w:hAnsi="Liberation Sans" w:eastAsia="Microsoft YaHei" w:cs="Arial"/>
      <w:sz w:val="28"/>
      <w:szCs w:val="28"/>
    </w:rPr>
  </w:style>
  <w:style w:type="paragraph" w:customStyle="1" w:styleId="114">
    <w:name w:val="Índice"/>
    <w:basedOn w:val="1"/>
    <w:qFormat/>
    <w:uiPriority w:val="0"/>
    <w:pPr>
      <w:suppressLineNumbers/>
      <w:suppressAutoHyphens/>
      <w:spacing w:before="120" w:after="120" w:line="280" w:lineRule="atLeast"/>
      <w:jc w:val="both"/>
    </w:pPr>
    <w:rPr>
      <w:rFonts w:eastAsia="Times New Roman" w:cs="Arial"/>
      <w:color w:val="000000"/>
      <w:szCs w:val="24"/>
      <w:lang w:eastAsia="pt-BR"/>
    </w:rPr>
  </w:style>
  <w:style w:type="paragraph" w:customStyle="1" w:styleId="115">
    <w:name w:val="Cabeçalho e rodapé"/>
    <w:basedOn w:val="1"/>
    <w:qFormat/>
    <w:uiPriority w:val="0"/>
  </w:style>
  <w:style w:type="paragraph" w:customStyle="1" w:styleId="116">
    <w:name w:val="Revision"/>
    <w:semiHidden/>
    <w:qFormat/>
    <w:uiPriority w:val="99"/>
    <w:pPr>
      <w:widowControl/>
      <w:suppressAutoHyphens/>
      <w:bidi w:val="0"/>
      <w:spacing w:before="0" w:after="0" w:line="240" w:lineRule="auto"/>
      <w:jc w:val="left"/>
    </w:pPr>
    <w:rPr>
      <w:rFonts w:ascii="Arial" w:hAnsi="Arial" w:eastAsia="Calibri" w:cs="Times New Roman"/>
      <w:color w:val="auto"/>
      <w:kern w:val="0"/>
      <w:sz w:val="24"/>
      <w:szCs w:val="22"/>
      <w:lang w:val="pt-BR" w:eastAsia="en-US" w:bidi="ar-SA"/>
    </w:rPr>
  </w:style>
  <w:style w:type="paragraph" w:customStyle="1" w:styleId="117">
    <w:name w:val="Títulos"/>
    <w:basedOn w:val="1"/>
    <w:next w:val="1"/>
    <w:qFormat/>
    <w:uiPriority w:val="0"/>
    <w:pPr>
      <w:keepNext/>
      <w:numPr>
        <w:ilvl w:val="0"/>
        <w:numId w:val="4"/>
      </w:numPr>
      <w:pBdr>
        <w:bottom w:val="thinThickSmallGap" w:color="000000" w:sz="18" w:space="1"/>
      </w:pBdr>
      <w:spacing w:before="360" w:after="0" w:line="240" w:lineRule="auto"/>
      <w:jc w:val="both"/>
    </w:pPr>
    <w:rPr>
      <w:rFonts w:eastAsia="Times New Roman" w:cs="Arial"/>
      <w:b/>
      <w:color w:val="000000"/>
      <w:szCs w:val="24"/>
      <w:lang w:eastAsia="pt-BR"/>
    </w:rPr>
  </w:style>
  <w:style w:type="paragraph" w:customStyle="1" w:styleId="118">
    <w:name w:val="item_nivel2"/>
    <w:basedOn w:val="1"/>
    <w:qFormat/>
    <w:uiPriority w:val="0"/>
    <w:pPr>
      <w:spacing w:beforeAutospacing="1" w:afterAutospacing="1" w:line="240" w:lineRule="auto"/>
    </w:pPr>
    <w:rPr>
      <w:rFonts w:ascii="Times New Roman" w:hAnsi="Times New Roman" w:eastAsia="Times New Roman"/>
      <w:szCs w:val="24"/>
      <w:lang w:eastAsia="pt-BR"/>
    </w:rPr>
  </w:style>
  <w:style w:type="paragraph" w:customStyle="1" w:styleId="119">
    <w:name w:val="pf0"/>
    <w:basedOn w:val="1"/>
    <w:qFormat/>
    <w:uiPriority w:val="0"/>
    <w:pPr>
      <w:spacing w:beforeAutospacing="1" w:afterAutospacing="1" w:line="240" w:lineRule="auto"/>
    </w:pPr>
    <w:rPr>
      <w:rFonts w:ascii="Times New Roman" w:hAnsi="Times New Roman" w:eastAsia="Times New Roman"/>
      <w:szCs w:val="24"/>
      <w:lang w:eastAsia="pt-BR"/>
    </w:rPr>
  </w:style>
  <w:style w:type="paragraph" w:customStyle="1" w:styleId="120">
    <w:name w:val="1o. nivel"/>
    <w:basedOn w:val="2"/>
    <w:qFormat/>
    <w:uiPriority w:val="0"/>
    <w:pPr>
      <w:pageBreakBefore/>
      <w:pBdr>
        <w:bottom w:val="single" w:color="000000" w:sz="4" w:space="1"/>
      </w:pBdr>
      <w:tabs>
        <w:tab w:val="left" w:pos="360"/>
      </w:tabs>
      <w:spacing w:line="240" w:lineRule="auto"/>
      <w:jc w:val="both"/>
    </w:pPr>
    <w:rPr>
      <w:rFonts w:ascii="Bookman Old Style" w:hAnsi="Bookman Old Style"/>
      <w:b/>
      <w:bCs/>
      <w:color w:val="2F5597" w:themeColor="accent1" w:themeShade="BF"/>
      <w:sz w:val="24"/>
      <w:szCs w:val="24"/>
    </w:rPr>
  </w:style>
  <w:style w:type="paragraph" w:customStyle="1" w:styleId="121">
    <w:name w:val="4o. nivel"/>
    <w:basedOn w:val="52"/>
    <w:qFormat/>
    <w:uiPriority w:val="0"/>
  </w:style>
  <w:style w:type="paragraph" w:customStyle="1" w:styleId="122">
    <w:name w:val="Tópico 3"/>
    <w:basedOn w:val="41"/>
    <w:qFormat/>
    <w:uiPriority w:val="0"/>
    <w:pPr>
      <w:spacing w:before="360" w:after="240" w:line="288" w:lineRule="auto"/>
      <w:ind w:left="737" w:hanging="737"/>
      <w:contextualSpacing w:val="0"/>
      <w:jc w:val="both"/>
    </w:pPr>
    <w:rPr>
      <w:rFonts w:eastAsia="Times New Roman" w:cs="Arial"/>
      <w:b/>
      <w:bCs/>
      <w:iCs/>
      <w:szCs w:val="24"/>
      <w:lang w:eastAsia="pt-BR"/>
    </w:rPr>
  </w:style>
  <w:style w:type="paragraph" w:customStyle="1" w:styleId="123">
    <w:name w:val="Tópico 5"/>
    <w:basedOn w:val="1"/>
    <w:qFormat/>
    <w:uiPriority w:val="0"/>
    <w:pPr>
      <w:numPr>
        <w:ilvl w:val="4"/>
        <w:numId w:val="2"/>
      </w:numPr>
      <w:tabs>
        <w:tab w:val="left" w:pos="993"/>
      </w:tabs>
      <w:spacing w:before="240" w:after="240" w:line="280" w:lineRule="atLeast"/>
      <w:ind w:left="1134" w:hanging="1134"/>
      <w:contextualSpacing/>
      <w:jc w:val="both"/>
    </w:pPr>
    <w:rPr>
      <w:rFonts w:eastAsia="Times New Roman" w:cs="Arial"/>
      <w:szCs w:val="24"/>
      <w:lang w:eastAsia="pt-BR"/>
    </w:rPr>
  </w:style>
  <w:style w:type="paragraph" w:customStyle="1" w:styleId="124">
    <w:name w:val="LO-normal1"/>
    <w:qFormat/>
    <w:uiPriority w:val="0"/>
    <w:pPr>
      <w:widowControl/>
      <w:suppressAutoHyphens/>
      <w:bidi w:val="0"/>
      <w:spacing w:before="0" w:after="0" w:line="240" w:lineRule="auto"/>
      <w:jc w:val="left"/>
    </w:pPr>
    <w:rPr>
      <w:rFonts w:asciiTheme="minorHAnsi" w:hAnsiTheme="minorHAnsi" w:eastAsiaTheme="minorHAnsi" w:cstheme="minorBidi"/>
      <w:color w:val="auto"/>
      <w:kern w:val="0"/>
      <w:sz w:val="20"/>
      <w:szCs w:val="20"/>
      <w:lang w:val="pt-BR" w:eastAsia="pt-BR" w:bidi="ar-SA"/>
    </w:rPr>
  </w:style>
  <w:style w:type="paragraph" w:customStyle="1" w:styleId="125">
    <w:name w:val="normal1"/>
    <w:qFormat/>
    <w:uiPriority w:val="0"/>
    <w:pPr>
      <w:widowControl/>
      <w:suppressAutoHyphens/>
      <w:bidi w:val="0"/>
      <w:spacing w:before="0" w:after="0" w:line="240" w:lineRule="auto"/>
      <w:jc w:val="left"/>
    </w:pPr>
    <w:rPr>
      <w:rFonts w:cs="Calibri" w:asciiTheme="minorHAnsi" w:hAnsiTheme="minorHAnsi" w:eastAsiaTheme="minorHAnsi"/>
      <w:color w:val="auto"/>
      <w:kern w:val="0"/>
      <w:sz w:val="20"/>
      <w:szCs w:val="20"/>
      <w:lang w:val="pt-BR" w:eastAsia="zh-CN" w:bidi="hi-IN"/>
    </w:rPr>
  </w:style>
  <w:style w:type="paragraph" w:customStyle="1" w:styleId="126">
    <w:name w:val="Título2"/>
    <w:basedOn w:val="1"/>
    <w:next w:val="1"/>
    <w:qFormat/>
    <w:uiPriority w:val="0"/>
    <w:pPr>
      <w:suppressAutoHyphens/>
      <w:spacing w:before="0" w:after="120" w:line="252" w:lineRule="auto"/>
      <w:jc w:val="center"/>
    </w:pPr>
    <w:rPr>
      <w:rFonts w:eastAsia="Times New Roman" w:cs="Arial"/>
      <w:b/>
      <w:bCs/>
      <w:color w:val="000000"/>
      <w:szCs w:val="24"/>
      <w:lang w:eastAsia="pt-BR"/>
    </w:rPr>
  </w:style>
  <w:style w:type="paragraph" w:customStyle="1" w:styleId="127">
    <w:name w:val="Texto de comentário1"/>
    <w:basedOn w:val="1"/>
    <w:qFormat/>
    <w:uiPriority w:val="0"/>
    <w:pPr>
      <w:suppressAutoHyphens/>
      <w:spacing w:before="120" w:after="120" w:line="240" w:lineRule="auto"/>
      <w:jc w:val="both"/>
    </w:pPr>
    <w:rPr>
      <w:rFonts w:eastAsia="Times New Roman" w:cs="Arial"/>
      <w:color w:val="000000"/>
      <w:sz w:val="20"/>
      <w:szCs w:val="20"/>
      <w:lang w:eastAsia="pt-BR"/>
    </w:rPr>
  </w:style>
  <w:style w:type="paragraph" w:customStyle="1" w:styleId="128">
    <w:name w:val="Cabeçalho e Rodapé1"/>
    <w:basedOn w:val="1"/>
    <w:qFormat/>
    <w:uiPriority w:val="0"/>
    <w:pPr>
      <w:suppressAutoHyphens/>
      <w:spacing w:before="120" w:after="120" w:line="280" w:lineRule="atLeast"/>
      <w:jc w:val="both"/>
    </w:pPr>
    <w:rPr>
      <w:rFonts w:eastAsia="Times New Roman" w:cs="Arial"/>
      <w:color w:val="000000"/>
      <w:szCs w:val="24"/>
      <w:lang w:eastAsia="pt-BR"/>
    </w:rPr>
  </w:style>
  <w:style w:type="paragraph" w:customStyle="1" w:styleId="129">
    <w:name w:val="Tópico"/>
    <w:basedOn w:val="20"/>
    <w:qFormat/>
    <w:uiPriority w:val="0"/>
    <w:pPr>
      <w:numPr>
        <w:ilvl w:val="0"/>
        <w:numId w:val="5"/>
      </w:numPr>
      <w:suppressAutoHyphens/>
      <w:spacing w:before="120" w:beforeAutospacing="0" w:after="120" w:afterAutospacing="0" w:line="280" w:lineRule="atLeast"/>
      <w:jc w:val="both"/>
    </w:pPr>
    <w:rPr>
      <w:rFonts w:ascii="Arial" w:hAnsi="Arial" w:cs="Arial"/>
      <w:color w:val="000000"/>
      <w:sz w:val="22"/>
      <w:szCs w:val="22"/>
    </w:rPr>
  </w:style>
  <w:style w:type="paragraph" w:customStyle="1" w:styleId="130">
    <w:name w:val="Parágrafo da Lista1"/>
    <w:basedOn w:val="1"/>
    <w:qFormat/>
    <w:uiPriority w:val="0"/>
    <w:pPr>
      <w:suppressAutoHyphens/>
      <w:spacing w:before="120" w:after="120" w:line="280" w:lineRule="atLeast"/>
      <w:ind w:left="720"/>
      <w:contextualSpacing/>
      <w:jc w:val="both"/>
    </w:pPr>
    <w:rPr>
      <w:rFonts w:eastAsia="Times New Roman" w:cs="Arial"/>
      <w:color w:val="000000"/>
      <w:szCs w:val="24"/>
      <w:lang w:eastAsia="pt-BR"/>
    </w:rPr>
  </w:style>
  <w:style w:type="paragraph" w:customStyle="1" w:styleId="131">
    <w:name w:val="Inciso"/>
    <w:basedOn w:val="130"/>
    <w:qFormat/>
    <w:uiPriority w:val="0"/>
    <w:pPr>
      <w:numPr>
        <w:ilvl w:val="0"/>
        <w:numId w:val="6"/>
      </w:numPr>
      <w:spacing w:before="0" w:after="0" w:line="264" w:lineRule="auto"/>
      <w:contextualSpacing w:val="0"/>
    </w:pPr>
  </w:style>
  <w:style w:type="paragraph" w:customStyle="1" w:styleId="132">
    <w:name w:val="Citação1"/>
    <w:basedOn w:val="1"/>
    <w:next w:val="1"/>
    <w:qFormat/>
    <w:uiPriority w:val="0"/>
    <w:pPr>
      <w:suppressAutoHyphens/>
      <w:spacing w:before="200" w:after="160" w:line="280" w:lineRule="atLeast"/>
      <w:ind w:left="864" w:right="864"/>
      <w:jc w:val="center"/>
    </w:pPr>
    <w:rPr>
      <w:rFonts w:eastAsia="Times New Roman" w:cs="Arial"/>
      <w:i/>
      <w:iCs/>
      <w:color w:val="3F3F3F"/>
      <w:szCs w:val="24"/>
      <w:lang w:eastAsia="pt-BR"/>
    </w:rPr>
  </w:style>
  <w:style w:type="paragraph" w:customStyle="1" w:styleId="133">
    <w:name w:val="TR - PB"/>
    <w:basedOn w:val="20"/>
    <w:qFormat/>
    <w:uiPriority w:val="0"/>
    <w:pPr>
      <w:suppressAutoHyphens/>
      <w:spacing w:before="280" w:beforeAutospacing="0" w:after="0" w:afterAutospacing="0"/>
      <w:jc w:val="center"/>
    </w:pPr>
    <w:rPr>
      <w:rFonts w:ascii="Arial" w:hAnsi="Arial" w:cs="Arial"/>
      <w:b/>
      <w:bCs/>
      <w:color w:val="000000"/>
    </w:rPr>
  </w:style>
  <w:style w:type="paragraph" w:customStyle="1" w:styleId="134">
    <w:name w:val="3o nivel 1.1.1"/>
    <w:basedOn w:val="3"/>
    <w:qFormat/>
    <w:uiPriority w:val="0"/>
    <w:pPr>
      <w:keepNext w:val="0"/>
      <w:keepLines w:val="0"/>
      <w:tabs>
        <w:tab w:val="left" w:pos="851"/>
      </w:tabs>
      <w:suppressAutoHyphens/>
      <w:spacing w:before="240" w:after="120" w:line="240" w:lineRule="auto"/>
      <w:ind w:left="851" w:hanging="851"/>
      <w:jc w:val="both"/>
      <w:outlineLvl w:val="9"/>
    </w:pPr>
    <w:rPr>
      <w:rFonts w:ascii="Arial" w:hAnsi="Arial" w:eastAsia="Times New Roman" w:cs="Arial"/>
      <w:bCs/>
      <w:color w:val="000000"/>
      <w:szCs w:val="24"/>
      <w:u w:val="single"/>
      <w:lang w:eastAsia="pt-BR"/>
    </w:rPr>
  </w:style>
  <w:style w:type="paragraph" w:customStyle="1" w:styleId="135">
    <w:name w:val="Art."/>
    <w:basedOn w:val="130"/>
    <w:qFormat/>
    <w:uiPriority w:val="0"/>
    <w:pPr>
      <w:tabs>
        <w:tab w:val="left" w:pos="737"/>
        <w:tab w:val="left" w:pos="907"/>
        <w:tab w:val="left" w:pos="1077"/>
      </w:tabs>
      <w:spacing w:before="120" w:after="0" w:line="264" w:lineRule="auto"/>
      <w:ind w:left="0"/>
      <w:contextualSpacing w:val="0"/>
    </w:pPr>
    <w:rPr>
      <w:rFonts w:eastAsia="Calibri"/>
      <w:szCs w:val="22"/>
      <w:lang w:eastAsia="en-US"/>
    </w:rPr>
  </w:style>
  <w:style w:type="paragraph" w:customStyle="1" w:styleId="136">
    <w:name w:val="parágrafo"/>
    <w:basedOn w:val="135"/>
    <w:qFormat/>
    <w:uiPriority w:val="0"/>
  </w:style>
  <w:style w:type="paragraph" w:customStyle="1" w:styleId="137">
    <w:name w:val="Tópico 4"/>
    <w:basedOn w:val="16"/>
    <w:qFormat/>
    <w:uiPriority w:val="0"/>
    <w:pPr>
      <w:numPr>
        <w:ilvl w:val="0"/>
        <w:numId w:val="7"/>
      </w:numPr>
      <w:tabs>
        <w:tab w:val="left" w:pos="993"/>
      </w:tabs>
      <w:suppressAutoHyphens/>
      <w:spacing w:before="240" w:after="240"/>
      <w:contextualSpacing/>
    </w:pPr>
    <w:rPr>
      <w:color w:val="000000"/>
    </w:rPr>
  </w:style>
  <w:style w:type="paragraph" w:customStyle="1" w:styleId="138">
    <w:name w:val="Quebra"/>
    <w:basedOn w:val="63"/>
    <w:qFormat/>
    <w:uiPriority w:val="0"/>
    <w:pPr>
      <w:numPr>
        <w:ilvl w:val="0"/>
        <w:numId w:val="0"/>
      </w:numPr>
      <w:pBdr>
        <w:bottom w:val="thinThickSmallGap" w:color="000000" w:sz="18" w:space="1"/>
      </w:pBdr>
      <w:suppressAutoHyphens/>
      <w:spacing w:before="0" w:after="0" w:line="240" w:lineRule="auto"/>
      <w:ind w:left="426" w:hanging="426"/>
    </w:pPr>
    <w:rPr>
      <w:color w:val="000000"/>
      <w:sz w:val="2"/>
    </w:rPr>
  </w:style>
  <w:style w:type="paragraph" w:customStyle="1" w:styleId="139">
    <w:name w:val="Título11"/>
    <w:basedOn w:val="1"/>
    <w:next w:val="17"/>
    <w:qFormat/>
    <w:uiPriority w:val="0"/>
    <w:pPr>
      <w:keepNext/>
      <w:suppressAutoHyphens/>
      <w:spacing w:before="240" w:after="120" w:line="280" w:lineRule="atLeast"/>
      <w:jc w:val="both"/>
    </w:pPr>
    <w:rPr>
      <w:rFonts w:ascii="Liberation Sans" w:hAnsi="Liberation Sans" w:eastAsia="Microsoft YaHei" w:cs="Arial"/>
      <w:color w:val="000000"/>
      <w:sz w:val="28"/>
      <w:szCs w:val="28"/>
      <w:lang w:eastAsia="pt-BR"/>
    </w:rPr>
  </w:style>
  <w:style w:type="paragraph" w:customStyle="1" w:styleId="140">
    <w:name w:val="caption1"/>
    <w:basedOn w:val="1"/>
    <w:qFormat/>
    <w:uiPriority w:val="0"/>
    <w:pPr>
      <w:suppressLineNumbers/>
      <w:suppressAutoHyphens/>
      <w:spacing w:before="120" w:after="120" w:line="280" w:lineRule="atLeast"/>
      <w:jc w:val="both"/>
    </w:pPr>
    <w:rPr>
      <w:rFonts w:eastAsia="Times New Roman" w:cs="Arial"/>
      <w:i/>
      <w:iCs/>
      <w:color w:val="000000"/>
      <w:szCs w:val="24"/>
      <w:lang w:eastAsia="pt-BR"/>
    </w:rPr>
  </w:style>
  <w:style w:type="paragraph" w:customStyle="1" w:styleId="141">
    <w:name w:val="Título1"/>
    <w:basedOn w:val="1"/>
    <w:next w:val="17"/>
    <w:qFormat/>
    <w:uiPriority w:val="0"/>
    <w:pPr>
      <w:keepNext/>
      <w:suppressAutoHyphens/>
      <w:spacing w:before="240" w:after="120" w:line="280" w:lineRule="atLeast"/>
      <w:jc w:val="both"/>
    </w:pPr>
    <w:rPr>
      <w:rFonts w:ascii="Liberation Sans" w:hAnsi="Liberation Sans" w:eastAsia="Microsoft YaHei" w:cs="Arial"/>
      <w:color w:val="000000"/>
      <w:sz w:val="28"/>
      <w:szCs w:val="28"/>
      <w:lang w:eastAsia="pt-BR"/>
    </w:rPr>
  </w:style>
  <w:style w:type="paragraph" w:customStyle="1" w:styleId="142">
    <w:name w:val="corpo"/>
    <w:basedOn w:val="1"/>
    <w:qFormat/>
    <w:uiPriority w:val="0"/>
    <w:pPr>
      <w:suppressAutoHyphens/>
      <w:spacing w:before="280" w:after="280" w:line="240" w:lineRule="auto"/>
      <w:jc w:val="both"/>
    </w:pPr>
    <w:rPr>
      <w:rFonts w:ascii="Times New Roman" w:hAnsi="Times New Roman" w:eastAsia="Times New Roman"/>
      <w:color w:val="000000"/>
      <w:szCs w:val="24"/>
      <w:lang w:eastAsia="pt-BR"/>
    </w:rPr>
  </w:style>
  <w:style w:type="paragraph" w:customStyle="1" w:styleId="143">
    <w:name w:val="artigo"/>
    <w:basedOn w:val="1"/>
    <w:qFormat/>
    <w:uiPriority w:val="0"/>
    <w:pPr>
      <w:suppressAutoHyphens/>
      <w:spacing w:before="280" w:after="280" w:line="240" w:lineRule="auto"/>
      <w:jc w:val="both"/>
    </w:pPr>
    <w:rPr>
      <w:rFonts w:ascii="Times New Roman" w:hAnsi="Times New Roman" w:eastAsia="Times New Roman"/>
      <w:color w:val="000000"/>
      <w:szCs w:val="24"/>
      <w:lang w:eastAsia="pt-BR"/>
    </w:rPr>
  </w:style>
  <w:style w:type="paragraph" w:customStyle="1" w:styleId="144">
    <w:name w:val="Sem Espaçamento1"/>
    <w:qFormat/>
    <w:uiPriority w:val="0"/>
    <w:pPr>
      <w:widowControl/>
      <w:suppressAutoHyphens/>
      <w:bidi w:val="0"/>
      <w:spacing w:before="0" w:after="0" w:line="240" w:lineRule="auto"/>
      <w:jc w:val="both"/>
    </w:pPr>
    <w:rPr>
      <w:rFonts w:ascii="Arial" w:hAnsi="Arial" w:eastAsia="Times New Roman" w:cs="Arial"/>
      <w:color w:val="000000"/>
      <w:kern w:val="0"/>
      <w:sz w:val="22"/>
      <w:szCs w:val="24"/>
      <w:lang w:val="pt-BR" w:eastAsia="pt-BR" w:bidi="ar-SA"/>
    </w:rPr>
  </w:style>
  <w:style w:type="paragraph" w:customStyle="1" w:styleId="145">
    <w:name w:val="Revisão1"/>
    <w:qFormat/>
    <w:uiPriority w:val="0"/>
    <w:pPr>
      <w:widowControl/>
      <w:suppressAutoHyphens/>
      <w:bidi w:val="0"/>
      <w:spacing w:before="0" w:after="0" w:line="240" w:lineRule="auto"/>
      <w:jc w:val="left"/>
    </w:pPr>
    <w:rPr>
      <w:rFonts w:ascii="Arial" w:hAnsi="Arial" w:eastAsia="Times New Roman" w:cs="Arial"/>
      <w:color w:val="000000"/>
      <w:kern w:val="0"/>
      <w:sz w:val="22"/>
      <w:szCs w:val="24"/>
      <w:lang w:val="pt-BR" w:eastAsia="pt-BR" w:bidi="ar-SA"/>
    </w:rPr>
  </w:style>
  <w:style w:type="paragraph" w:customStyle="1" w:styleId="146">
    <w:name w:val="tabela_texto_centralizado"/>
    <w:basedOn w:val="1"/>
    <w:qFormat/>
    <w:uiPriority w:val="0"/>
    <w:pPr>
      <w:suppressAutoHyphens/>
      <w:spacing w:before="280" w:after="280" w:line="240" w:lineRule="auto"/>
    </w:pPr>
    <w:rPr>
      <w:rFonts w:ascii="Times New Roman" w:hAnsi="Times New Roman" w:eastAsia="Times New Roman"/>
      <w:color w:val="000000"/>
      <w:szCs w:val="24"/>
      <w:lang w:eastAsia="pt-BR"/>
    </w:rPr>
  </w:style>
  <w:style w:type="paragraph" w:customStyle="1" w:styleId="147">
    <w:name w:val="Table Paragraph"/>
    <w:basedOn w:val="1"/>
    <w:qFormat/>
    <w:uiPriority w:val="1"/>
    <w:pPr>
      <w:widowControl w:val="0"/>
      <w:suppressAutoHyphens/>
      <w:spacing w:before="0" w:after="0" w:line="240" w:lineRule="auto"/>
    </w:pPr>
    <w:rPr>
      <w:rFonts w:ascii="Times New Roman" w:hAnsi="Times New Roman" w:eastAsia="Times New Roman"/>
      <w:color w:val="000000"/>
      <w:lang w:val="en-US"/>
    </w:rPr>
  </w:style>
  <w:style w:type="paragraph" w:customStyle="1" w:styleId="148">
    <w:name w:val="Default"/>
    <w:qFormat/>
    <w:uiPriority w:val="0"/>
    <w:pPr>
      <w:widowControl/>
      <w:suppressAutoHyphens/>
      <w:bidi w:val="0"/>
      <w:spacing w:before="0" w:after="0" w:line="240" w:lineRule="auto"/>
      <w:jc w:val="left"/>
    </w:pPr>
    <w:rPr>
      <w:rFonts w:ascii="Times New Roman" w:hAnsi="Times New Roman" w:eastAsia="Calibri" w:cs="Times New Roman"/>
      <w:color w:val="000000"/>
      <w:kern w:val="0"/>
      <w:sz w:val="24"/>
      <w:szCs w:val="24"/>
      <w:lang w:val="pt-BR" w:eastAsia="en-US" w:bidi="ar-SA"/>
    </w:rPr>
  </w:style>
  <w:style w:type="paragraph" w:customStyle="1" w:styleId="149">
    <w:name w:val="Standard"/>
    <w:qFormat/>
    <w:uiPriority w:val="0"/>
    <w:pPr>
      <w:widowControl/>
      <w:suppressAutoHyphens/>
      <w:bidi w:val="0"/>
      <w:spacing w:before="0" w:after="0" w:line="240" w:lineRule="auto"/>
      <w:jc w:val="left"/>
      <w:textAlignment w:val="baseline"/>
    </w:pPr>
    <w:rPr>
      <w:rFonts w:ascii="Liberation Serif" w:hAnsi="Liberation Serif" w:eastAsia="NSimSun" w:cs="Arial"/>
      <w:color w:val="000000"/>
      <w:kern w:val="2"/>
      <w:sz w:val="24"/>
      <w:szCs w:val="24"/>
      <w:lang w:val="pt-BR" w:eastAsia="zh-CN" w:bidi="hi-IN"/>
    </w:rPr>
  </w:style>
  <w:style w:type="paragraph" w:customStyle="1" w:styleId="150">
    <w:name w:val="Conteúdo da tabela"/>
    <w:basedOn w:val="1"/>
    <w:qFormat/>
    <w:uiPriority w:val="0"/>
    <w:pPr>
      <w:widowControl w:val="0"/>
      <w:suppressLineNumbers/>
      <w:suppressAutoHyphens/>
      <w:spacing w:before="120" w:after="120" w:line="280" w:lineRule="atLeast"/>
      <w:jc w:val="both"/>
    </w:pPr>
    <w:rPr>
      <w:rFonts w:eastAsia="Times New Roman" w:cs="Arial"/>
      <w:color w:val="000000"/>
      <w:szCs w:val="24"/>
      <w:lang w:eastAsia="pt-BR"/>
    </w:rPr>
  </w:style>
  <w:style w:type="paragraph" w:customStyle="1" w:styleId="151">
    <w:name w:val="Título de tabela"/>
    <w:basedOn w:val="150"/>
    <w:qFormat/>
    <w:uiPriority w:val="0"/>
    <w:pPr>
      <w:jc w:val="center"/>
    </w:pPr>
    <w:rPr>
      <w:b/>
      <w:bCs/>
    </w:rPr>
  </w:style>
  <w:style w:type="paragraph" w:customStyle="1" w:styleId="152">
    <w:name w:val="Conteúdo do quadro"/>
    <w:basedOn w:val="1"/>
    <w:qFormat/>
    <w:uiPriority w:val="0"/>
    <w:pPr>
      <w:suppressAutoHyphens/>
      <w:spacing w:before="120" w:after="120" w:line="280" w:lineRule="atLeast"/>
      <w:jc w:val="both"/>
    </w:pPr>
    <w:rPr>
      <w:rFonts w:eastAsia="Times New Roman" w:cs="Arial"/>
      <w:color w:val="000000"/>
      <w:szCs w:val="24"/>
      <w:lang w:eastAsia="pt-BR"/>
    </w:rPr>
  </w:style>
  <w:style w:type="paragraph" w:customStyle="1" w:styleId="153">
    <w:name w:val="LO-normal"/>
    <w:qFormat/>
    <w:uiPriority w:val="0"/>
    <w:pPr>
      <w:widowControl/>
      <w:suppressAutoHyphens/>
      <w:bidi w:val="0"/>
      <w:spacing w:before="120" w:after="120" w:line="240" w:lineRule="auto"/>
      <w:jc w:val="both"/>
    </w:pPr>
    <w:rPr>
      <w:rFonts w:ascii="Arial" w:hAnsi="Arial" w:eastAsia="Arial" w:cs="Arial"/>
      <w:color w:val="000000"/>
      <w:kern w:val="0"/>
      <w:sz w:val="24"/>
      <w:szCs w:val="24"/>
      <w:lang w:val="pt-BR" w:eastAsia="zh-CN" w:bidi="hi-IN"/>
    </w:rPr>
  </w:style>
  <w:style w:type="paragraph" w:customStyle="1" w:styleId="154">
    <w:name w:val="Texto Exemplo"/>
    <w:basedOn w:val="1"/>
    <w:qFormat/>
    <w:uiPriority w:val="0"/>
    <w:pPr>
      <w:ind w:firstLine="0"/>
    </w:pPr>
    <w:rPr>
      <w:bCs/>
      <w:i/>
      <w:color w:val="808080" w:themeColor="background1" w:themeShade="80"/>
    </w:rPr>
  </w:style>
  <w:style w:type="paragraph" w:customStyle="1" w:styleId="155">
    <w:name w:val="western"/>
    <w:qFormat/>
    <w:uiPriority w:val="0"/>
    <w:pPr>
      <w:widowControl/>
      <w:suppressAutoHyphens/>
      <w:bidi w:val="0"/>
      <w:spacing w:before="0" w:after="0"/>
      <w:jc w:val="left"/>
    </w:pPr>
    <w:rPr>
      <w:rFonts w:ascii="Calibri" w:hAnsi="Calibri" w:eastAsia="SimSun" w:cs="Calibri"/>
      <w:color w:val="auto"/>
      <w:kern w:val="0"/>
      <w:sz w:val="20"/>
      <w:szCs w:val="20"/>
      <w:lang w:val="en-US" w:eastAsia="zh-CN" w:bidi="ar-SA"/>
    </w:rPr>
  </w:style>
  <w:style w:type="table" w:customStyle="1" w:styleId="156">
    <w:name w:val="Table Normal"/>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57">
    <w:name w:val="Table Normal1"/>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58">
    <w:name w:val="Table Normal2"/>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59">
    <w:name w:val="Table Normal3"/>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0">
    <w:name w:val="Table Normal4"/>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1">
    <w:name w:val="Table Normal5"/>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2">
    <w:name w:val="Table Normal6"/>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3">
    <w:name w:val="Table Normal7"/>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4">
    <w:name w:val="Table Normal8"/>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5">
    <w:name w:val="Tabela com grade1"/>
    <w:basedOn w:val="10"/>
    <w:qFormat/>
    <w:uiPriority w:val="59"/>
    <w:pPr>
      <w:spacing w:before="0" w:line="240" w:lineRule="auto"/>
      <w:jc w:val="left"/>
    </w:pPr>
    <w:rPr>
      <w:sz w:val="20"/>
      <w:szCs w:val="20"/>
      <w:lang w:eastAsia="pt-B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
    <w:name w:val="Table Normal9"/>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7">
    <w:name w:val="Table Normal10"/>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8">
    <w:name w:val="Table Normal11"/>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69">
    <w:name w:val="Table Normal12"/>
    <w:semiHidden/>
    <w:unhideWhenUsed/>
    <w:qFormat/>
    <w:uiPriority w:val="2"/>
    <w:pPr>
      <w:spacing w:before="0" w:line="240" w:lineRule="auto"/>
      <w:jc w:val="left"/>
    </w:pPr>
    <w:rPr>
      <w:lang w:val="en-US"/>
    </w:rPr>
    <w:tblPr>
      <w:tblCellMar>
        <w:top w:w="0" w:type="dxa"/>
        <w:left w:w="0" w:type="dxa"/>
        <w:bottom w:w="0" w:type="dxa"/>
        <w:right w:w="0" w:type="dxa"/>
      </w:tblCellMar>
    </w:tblPr>
  </w:style>
  <w:style w:type="table" w:customStyle="1" w:styleId="170">
    <w:name w:val="Table Normal13"/>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1">
    <w:name w:val="Table Normal14"/>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2">
    <w:name w:val="Table Normal15"/>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3">
    <w:name w:val="Table Normal16"/>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4">
    <w:name w:val="Table Normal17"/>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5">
    <w:name w:val="Table Normal18"/>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6">
    <w:name w:val="Table Normal19"/>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7">
    <w:name w:val="Table Normal20"/>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8">
    <w:name w:val="Table Normal21"/>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79">
    <w:name w:val="Table Normal22"/>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80">
    <w:name w:val="Table Normal23"/>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81">
    <w:name w:val="Table Normal24"/>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82">
    <w:name w:val="Table Normal25"/>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83">
    <w:name w:val="Table Normal26"/>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 w:type="table" w:customStyle="1" w:styleId="184">
    <w:name w:val="Table Normal27"/>
    <w:semiHidden/>
    <w:unhideWhenUsed/>
    <w:qFormat/>
    <w:uiPriority w:val="2"/>
    <w:pPr>
      <w:spacing w:before="0" w:line="240" w:lineRule="auto"/>
      <w:jc w:val="left"/>
    </w:pPr>
    <w:rPr>
      <w:rFonts w:eastAsiaTheme="minorHAnsi"/>
      <w:lang w:val="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theme" Target="theme/theme1.xml"/><Relationship Id="rId13" Type="http://schemas.openxmlformats.org/officeDocument/2006/relationships/footer" Target="footer3.xml"/><Relationship Id="rId12" Type="http://schemas.openxmlformats.org/officeDocument/2006/relationships/footer" Target="footer2.xml"/><Relationship Id="rId11" Type="http://schemas.openxmlformats.org/officeDocument/2006/relationships/footer" Target="footer1.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A8F8AEFCBEE4F109E82665009B8E50A"/>
        <w:style w:val=""/>
        <w:category>
          <w:name w:val="Geral"/>
          <w:gallery w:val="placeholder"/>
        </w:category>
        <w:types>
          <w:type w:val="bbPlcHdr"/>
        </w:types>
        <w:behaviors>
          <w:behavior w:val="content"/>
        </w:behaviors>
        <w:description w:val=""/>
        <w:guid w:val="{8EA9FB72-ED17-4FDF-A459-0CF8A953F43F}"/>
      </w:docPartPr>
      <w:docPartBody>
        <w:p w14:paraId="7250D11A">
          <w:pPr>
            <w:pStyle w:val="5"/>
          </w:pPr>
          <w:r>
            <w:rPr>
              <w:rStyle w:val="4"/>
            </w:rPr>
            <w:t>Clique ou toque aqui para inserir uma data.</w:t>
          </w:r>
        </w:p>
      </w:docPartBody>
    </w:docPart>
    <w:docPart>
      <w:docPartPr>
        <w:name w:val="DefaultPlaceholder_-1854013438"/>
        <w:style w:val=""/>
        <w:category>
          <w:name w:val="Geral"/>
          <w:gallery w:val="placeholder"/>
        </w:category>
        <w:types>
          <w:type w:val="bbPlcHdr"/>
        </w:types>
        <w:behaviors>
          <w:behavior w:val="content"/>
        </w:behaviors>
        <w:description w:val=""/>
        <w:guid w:val="{FE699F20-5C47-4779-B24D-AE0AAC342D5A}"/>
      </w:docPartPr>
      <w:docPartBody>
        <w:p w14:paraId="10AFCE04">
          <w:r>
            <w:rPr>
              <w:rStyle w:val="4"/>
            </w:rPr>
            <w:t>Escolher um item.</w:t>
          </w:r>
        </w:p>
      </w:docPartBody>
    </w:docPart>
    <w:docPart>
      <w:docPartPr>
        <w:name w:val="1C4A274A9FCE422F8DD809D0163BBAA7"/>
        <w:style w:val=""/>
        <w:category>
          <w:name w:val="Geral"/>
          <w:gallery w:val="placeholder"/>
        </w:category>
        <w:types>
          <w:type w:val="bbPlcHdr"/>
        </w:types>
        <w:behaviors>
          <w:behavior w:val="content"/>
        </w:behaviors>
        <w:description w:val=""/>
        <w:guid w:val="{2A725DAB-7AE4-4813-BC72-E0E7E1E90EAE}"/>
      </w:docPartPr>
      <w:docPartBody>
        <w:p w14:paraId="05F1B9BE">
          <w:pPr>
            <w:pStyle w:val="6"/>
          </w:pPr>
          <w:r>
            <w:rPr>
              <w:rStyle w:val="4"/>
            </w:rPr>
            <w:t>Escolher um item.</w:t>
          </w:r>
        </w:p>
      </w:docPartBody>
    </w:docPart>
    <w:docPart>
      <w:docPartPr>
        <w:name w:val="370553E1A03B4A25B10ED39CC0EA9C3B"/>
        <w:style w:val=""/>
        <w:category>
          <w:name w:val="Geral"/>
          <w:gallery w:val="placeholder"/>
        </w:category>
        <w:types>
          <w:type w:val="bbPlcHdr"/>
        </w:types>
        <w:behaviors>
          <w:behavior w:val="content"/>
        </w:behaviors>
        <w:description w:val=""/>
        <w:guid w:val="{9DF46882-6246-4318-A7BE-5DA0733DA624}"/>
      </w:docPartPr>
      <w:docPartBody>
        <w:p w14:paraId="73B98FA9">
          <w:pPr>
            <w:pStyle w:val="7"/>
          </w:pPr>
          <w:r>
            <w:rPr>
              <w:rStyle w:val="4"/>
            </w:rPr>
            <w:t>Escolher um item.</w:t>
          </w:r>
        </w:p>
      </w:docPartBody>
    </w:docPart>
    <w:docPart>
      <w:docPartPr>
        <w:name w:val="270D7EBE5D334267A7B47F0DEF7729D7"/>
        <w:style w:val=""/>
        <w:category>
          <w:name w:val="Geral"/>
          <w:gallery w:val="placeholder"/>
        </w:category>
        <w:types>
          <w:type w:val="bbPlcHdr"/>
        </w:types>
        <w:behaviors>
          <w:behavior w:val="content"/>
        </w:behaviors>
        <w:description w:val=""/>
        <w:guid w:val="{4EB3A4DB-F106-4818-BEC2-52FEA34771E0}"/>
      </w:docPartPr>
      <w:docPartBody>
        <w:p w14:paraId="13EEB206">
          <w:pPr>
            <w:pStyle w:val="8"/>
          </w:pPr>
          <w:r>
            <w:rPr>
              <w:rStyle w:val="4"/>
            </w:rPr>
            <w:t>Escolher um item.</w:t>
          </w:r>
        </w:p>
      </w:docPartBody>
    </w:docPart>
    <w:docPart>
      <w:docPartPr>
        <w:name w:val="BC96821913E94F439A44B5F273EC2954"/>
        <w:style w:val=""/>
        <w:category>
          <w:name w:val="Geral"/>
          <w:gallery w:val="placeholder"/>
        </w:category>
        <w:types>
          <w:type w:val="bbPlcHdr"/>
        </w:types>
        <w:behaviors>
          <w:behavior w:val="content"/>
        </w:behaviors>
        <w:description w:val=""/>
        <w:guid w:val="{CB14B26C-A36D-4E6B-94BD-AE4A236385FF}"/>
      </w:docPartPr>
      <w:docPartBody>
        <w:p w14:paraId="059E73AE">
          <w:pPr>
            <w:pStyle w:val="9"/>
          </w:pPr>
          <w:r>
            <w:rPr>
              <w:rStyle w:val="4"/>
            </w:rPr>
            <w:t>Escolher um item.</w:t>
          </w:r>
        </w:p>
      </w:docPartBody>
    </w:docPart>
    <w:docPart>
      <w:docPartPr>
        <w:name w:val="{f3e70cf9-03dc-4670-b1fa-7f1f0a6a648b}"/>
        <w:style w:val=""/>
        <w:category>
          <w:name w:val="Geral"/>
          <w:gallery w:val="placeholder"/>
        </w:category>
        <w:types>
          <w:type w:val="bbPlcHdr"/>
        </w:types>
        <w:behaviors>
          <w:behavior w:val="content"/>
        </w:behaviors>
        <w:description w:val=""/>
        <w:guid w:val="{f3e70cf9-03dc-4670-b1fa-7f1f0a6a648b}"/>
      </w:docPartPr>
      <w:docPartBody>
        <w:p w14:paraId="6B15521E">
          <w:pPr>
            <w:pStyle w:val="10"/>
          </w:pPr>
          <w:r>
            <w:rPr>
              <w:rStyle w:val="4"/>
            </w:rPr>
            <w:t>Escolher um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黑体">
    <w:altName w:val="SimSun"/>
    <w:panose1 w:val="00000000000000000000"/>
    <w:charset w:val="86"/>
    <w:family w:val="auto"/>
    <w:pitch w:val="default"/>
    <w:sig w:usb0="00000000" w:usb1="00000000" w:usb2="00000000" w:usb3="00000000" w:csb0="00000000" w:csb1="00000000"/>
  </w:font>
  <w:font w:name="黑体">
    <w:altName w:val="SimSun"/>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E04"/>
    <w:rsid w:val="00022761"/>
    <w:rsid w:val="00055606"/>
    <w:rsid w:val="0006657D"/>
    <w:rsid w:val="00086814"/>
    <w:rsid w:val="000A1826"/>
    <w:rsid w:val="000B15A0"/>
    <w:rsid w:val="000C02B1"/>
    <w:rsid w:val="000D2DA6"/>
    <w:rsid w:val="000D4717"/>
    <w:rsid w:val="000D574F"/>
    <w:rsid w:val="000E1268"/>
    <w:rsid w:val="000E6151"/>
    <w:rsid w:val="000F5133"/>
    <w:rsid w:val="00147285"/>
    <w:rsid w:val="00154FAA"/>
    <w:rsid w:val="001615F8"/>
    <w:rsid w:val="00177C86"/>
    <w:rsid w:val="001B3A6B"/>
    <w:rsid w:val="001E629B"/>
    <w:rsid w:val="001F2A6F"/>
    <w:rsid w:val="00203E04"/>
    <w:rsid w:val="00216BB5"/>
    <w:rsid w:val="002643D9"/>
    <w:rsid w:val="00295110"/>
    <w:rsid w:val="002958A6"/>
    <w:rsid w:val="002978BF"/>
    <w:rsid w:val="002A4E3A"/>
    <w:rsid w:val="002B4EE0"/>
    <w:rsid w:val="002D121C"/>
    <w:rsid w:val="00307D18"/>
    <w:rsid w:val="0031668D"/>
    <w:rsid w:val="00317BFA"/>
    <w:rsid w:val="00324D29"/>
    <w:rsid w:val="00333C55"/>
    <w:rsid w:val="00370D9D"/>
    <w:rsid w:val="00371B9A"/>
    <w:rsid w:val="00373F8A"/>
    <w:rsid w:val="00381ACA"/>
    <w:rsid w:val="0039222F"/>
    <w:rsid w:val="003A07DC"/>
    <w:rsid w:val="003D17DD"/>
    <w:rsid w:val="003D69F7"/>
    <w:rsid w:val="003E1E4D"/>
    <w:rsid w:val="003F1E01"/>
    <w:rsid w:val="004036F9"/>
    <w:rsid w:val="0043666F"/>
    <w:rsid w:val="004701C9"/>
    <w:rsid w:val="00471828"/>
    <w:rsid w:val="00486E00"/>
    <w:rsid w:val="004961D4"/>
    <w:rsid w:val="004A234D"/>
    <w:rsid w:val="004E228E"/>
    <w:rsid w:val="004E7967"/>
    <w:rsid w:val="004F16EF"/>
    <w:rsid w:val="005206A9"/>
    <w:rsid w:val="00530689"/>
    <w:rsid w:val="00531BEF"/>
    <w:rsid w:val="005539C5"/>
    <w:rsid w:val="00573148"/>
    <w:rsid w:val="00595624"/>
    <w:rsid w:val="005C088C"/>
    <w:rsid w:val="005F6015"/>
    <w:rsid w:val="00600306"/>
    <w:rsid w:val="00622F8C"/>
    <w:rsid w:val="00632250"/>
    <w:rsid w:val="006353B5"/>
    <w:rsid w:val="00677D5F"/>
    <w:rsid w:val="006C34D6"/>
    <w:rsid w:val="006E0869"/>
    <w:rsid w:val="006F1008"/>
    <w:rsid w:val="006F7F0B"/>
    <w:rsid w:val="007467FD"/>
    <w:rsid w:val="0074727D"/>
    <w:rsid w:val="007506D1"/>
    <w:rsid w:val="00773651"/>
    <w:rsid w:val="00775797"/>
    <w:rsid w:val="00777C8A"/>
    <w:rsid w:val="00790A5E"/>
    <w:rsid w:val="007C075E"/>
    <w:rsid w:val="00800850"/>
    <w:rsid w:val="008105F5"/>
    <w:rsid w:val="00811D04"/>
    <w:rsid w:val="00834A29"/>
    <w:rsid w:val="008355CB"/>
    <w:rsid w:val="00884227"/>
    <w:rsid w:val="0088743B"/>
    <w:rsid w:val="008A54B5"/>
    <w:rsid w:val="008C44E6"/>
    <w:rsid w:val="008D4E96"/>
    <w:rsid w:val="008E6F83"/>
    <w:rsid w:val="0090533D"/>
    <w:rsid w:val="00914A87"/>
    <w:rsid w:val="00942174"/>
    <w:rsid w:val="009556FB"/>
    <w:rsid w:val="00972A39"/>
    <w:rsid w:val="00980ABB"/>
    <w:rsid w:val="009A54EB"/>
    <w:rsid w:val="009E056E"/>
    <w:rsid w:val="009F0556"/>
    <w:rsid w:val="00A2510B"/>
    <w:rsid w:val="00A5034B"/>
    <w:rsid w:val="00A77037"/>
    <w:rsid w:val="00A83EB1"/>
    <w:rsid w:val="00A95C57"/>
    <w:rsid w:val="00AD1966"/>
    <w:rsid w:val="00AF4006"/>
    <w:rsid w:val="00B0257E"/>
    <w:rsid w:val="00B0599D"/>
    <w:rsid w:val="00B34F69"/>
    <w:rsid w:val="00B65C61"/>
    <w:rsid w:val="00B775AA"/>
    <w:rsid w:val="00BB674E"/>
    <w:rsid w:val="00BC22E6"/>
    <w:rsid w:val="00BF0637"/>
    <w:rsid w:val="00BF2B2B"/>
    <w:rsid w:val="00C443EA"/>
    <w:rsid w:val="00C5102D"/>
    <w:rsid w:val="00C61300"/>
    <w:rsid w:val="00C61F87"/>
    <w:rsid w:val="00C6301C"/>
    <w:rsid w:val="00C9393B"/>
    <w:rsid w:val="00CA5DD1"/>
    <w:rsid w:val="00CB150D"/>
    <w:rsid w:val="00CC1BB2"/>
    <w:rsid w:val="00CC5243"/>
    <w:rsid w:val="00CF2B1B"/>
    <w:rsid w:val="00D05516"/>
    <w:rsid w:val="00D24507"/>
    <w:rsid w:val="00D300E7"/>
    <w:rsid w:val="00D41446"/>
    <w:rsid w:val="00D44E89"/>
    <w:rsid w:val="00D61DF3"/>
    <w:rsid w:val="00D65917"/>
    <w:rsid w:val="00D6638A"/>
    <w:rsid w:val="00D7335F"/>
    <w:rsid w:val="00D91956"/>
    <w:rsid w:val="00DB216F"/>
    <w:rsid w:val="00DB7B91"/>
    <w:rsid w:val="00DD1499"/>
    <w:rsid w:val="00DD40F1"/>
    <w:rsid w:val="00DE0B4F"/>
    <w:rsid w:val="00DE713D"/>
    <w:rsid w:val="00DF1CEB"/>
    <w:rsid w:val="00E01DB2"/>
    <w:rsid w:val="00E07C8F"/>
    <w:rsid w:val="00E13E1A"/>
    <w:rsid w:val="00E14BCD"/>
    <w:rsid w:val="00E45FF0"/>
    <w:rsid w:val="00E92C57"/>
    <w:rsid w:val="00EA2B15"/>
    <w:rsid w:val="00EA6FB0"/>
    <w:rsid w:val="00EB2F10"/>
    <w:rsid w:val="00EE121E"/>
    <w:rsid w:val="00EE747B"/>
    <w:rsid w:val="00F1016A"/>
    <w:rsid w:val="00F15729"/>
    <w:rsid w:val="00F331DB"/>
    <w:rsid w:val="00F5471D"/>
    <w:rsid w:val="00F74CD0"/>
    <w:rsid w:val="00F87814"/>
    <w:rsid w:val="00FF7BB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pt-BR" w:eastAsia="pt-BR"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A8F8AEFCBEE4F109E82665009B8E50A"/>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6">
    <w:name w:val="1C4A274A9FCE422F8DD809D0163BBAA7"/>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7">
    <w:name w:val="370553E1A03B4A25B10ED39CC0EA9C3B"/>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8">
    <w:name w:val="270D7EBE5D334267A7B47F0DEF7729D7"/>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9">
    <w:name w:val="BC96821913E94F439A44B5F273EC2954"/>
    <w:qFormat/>
    <w:uiPriority w:val="0"/>
    <w:pPr>
      <w:spacing w:after="160" w:line="259" w:lineRule="auto"/>
    </w:pPr>
    <w:rPr>
      <w:rFonts w:asciiTheme="minorHAnsi" w:hAnsiTheme="minorHAnsi" w:eastAsiaTheme="minorEastAsia" w:cstheme="minorBidi"/>
      <w:kern w:val="2"/>
      <w:sz w:val="22"/>
      <w:szCs w:val="22"/>
      <w:lang w:val="pt-BR" w:eastAsia="pt-BR" w:bidi="ar-SA"/>
      <w14:ligatures w14:val="standardContextual"/>
    </w:rPr>
  </w:style>
  <w:style w:type="paragraph" w:customStyle="1" w:styleId="10">
    <w:name w:val="E9E1EA8921274205B097F31E9DC82875"/>
    <w:qFormat/>
    <w:uiPriority w:val="0"/>
    <w:pPr>
      <w:spacing w:before="120" w:after="120" w:line="280" w:lineRule="atLeast"/>
      <w:jc w:val="both"/>
    </w:pPr>
    <w:rPr>
      <w:rFonts w:ascii="Arial" w:hAnsi="Arial" w:eastAsia="Times New Roman" w:cs="Arial"/>
      <w:sz w:val="22"/>
      <w:szCs w:val="24"/>
      <w:lang w:val="pt-BR" w:eastAsia="pt-BR" w:bidi="ar-SA"/>
    </w:rPr>
  </w:style>
</w:style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38</Pages>
  <Words>10231</Words>
  <Characters>57951</Characters>
  <Paragraphs>3266</Paragraphs>
  <TotalTime>76</TotalTime>
  <ScaleCrop>false</ScaleCrop>
  <LinksUpToDate>false</LinksUpToDate>
  <CharactersWithSpaces>68078</CharactersWithSpaces>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2024-08-20T19:27:00Z</dcterms:created>
  <dc:creator>Felipe Boselli</dc:creator>
  <cp:lastModifiedBy>catianaflb</cp:lastModifiedBy>
  <cp:lastPrinted>2022-10-01T14:03:00Z</cp:lastPrinted>
  <dcterms:modified xsi:type="dcterms:W3CDTF">2026-04-09T18:47:12Z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12363BCA492348A0BA85D881F3D141E4_13</vt:lpwstr>
  </property>
  <property fmtid="{D5CDD505-2E9C-101B-9397-08002B2CF9AE}" pid="3" name="KSOProductBuildVer">
    <vt:lpwstr>1046-12.2.0.23155</vt:lpwstr>
  </property>
</Properties>
</file>